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C27" w:rsidRPr="00145DF5" w:rsidRDefault="00372C27" w:rsidP="00372C27">
      <w:pPr>
        <w:jc w:val="center"/>
        <w:rPr>
          <w:rFonts w:ascii="Century Gothic" w:hAnsi="Century Gothic" w:cs="Arial"/>
          <w:b/>
          <w:bCs/>
          <w:sz w:val="28"/>
          <w:szCs w:val="28"/>
        </w:rPr>
      </w:pPr>
      <w:r w:rsidRPr="00145DF5">
        <w:rPr>
          <w:rFonts w:ascii="Century Gothic" w:hAnsi="Century Gothic" w:cs="Arial"/>
          <w:b/>
          <w:bCs/>
          <w:sz w:val="28"/>
          <w:szCs w:val="28"/>
        </w:rPr>
        <w:t xml:space="preserve">PREGÃO (PRESENCIAL) N° </w:t>
      </w:r>
      <w:r w:rsidR="00ED459C" w:rsidRPr="00145DF5">
        <w:rPr>
          <w:rFonts w:ascii="Century Gothic" w:hAnsi="Century Gothic" w:cs="Arial"/>
          <w:b/>
          <w:bCs/>
          <w:sz w:val="28"/>
          <w:szCs w:val="28"/>
        </w:rPr>
        <w:t>00</w:t>
      </w:r>
      <w:r w:rsidR="008476C5">
        <w:rPr>
          <w:rFonts w:ascii="Century Gothic" w:hAnsi="Century Gothic" w:cs="Arial"/>
          <w:b/>
          <w:bCs/>
          <w:sz w:val="28"/>
          <w:szCs w:val="28"/>
        </w:rPr>
        <w:t>6</w:t>
      </w:r>
      <w:r w:rsidR="00ED459C" w:rsidRPr="00145DF5">
        <w:rPr>
          <w:rFonts w:ascii="Century Gothic" w:hAnsi="Century Gothic" w:cs="Arial"/>
          <w:b/>
          <w:bCs/>
          <w:sz w:val="28"/>
          <w:szCs w:val="28"/>
        </w:rPr>
        <w:t>/2017</w:t>
      </w:r>
    </w:p>
    <w:p w:rsidR="00372C27" w:rsidRPr="00145DF5" w:rsidRDefault="00372C27" w:rsidP="00372C27">
      <w:pPr>
        <w:autoSpaceDE w:val="0"/>
        <w:autoSpaceDN w:val="0"/>
        <w:adjustRightInd w:val="0"/>
        <w:jc w:val="center"/>
        <w:rPr>
          <w:rFonts w:ascii="Century Gothic" w:hAnsi="Century Gothic" w:cs="Arial"/>
          <w:b/>
          <w:bCs/>
          <w:sz w:val="28"/>
          <w:szCs w:val="28"/>
        </w:rPr>
      </w:pPr>
      <w:r w:rsidRPr="00145DF5">
        <w:rPr>
          <w:rFonts w:ascii="Century Gothic" w:hAnsi="Century Gothic" w:cs="Arial"/>
          <w:b/>
          <w:sz w:val="28"/>
          <w:szCs w:val="28"/>
        </w:rPr>
        <w:t xml:space="preserve">EDITAL Nº </w:t>
      </w:r>
      <w:r w:rsidR="00ED459C" w:rsidRPr="00145DF5">
        <w:rPr>
          <w:rFonts w:ascii="Century Gothic" w:hAnsi="Century Gothic" w:cs="Arial"/>
          <w:b/>
          <w:sz w:val="28"/>
          <w:szCs w:val="28"/>
        </w:rPr>
        <w:t>0</w:t>
      </w:r>
      <w:r w:rsidR="008476C5">
        <w:rPr>
          <w:rFonts w:ascii="Century Gothic" w:hAnsi="Century Gothic" w:cs="Arial"/>
          <w:b/>
          <w:sz w:val="28"/>
          <w:szCs w:val="28"/>
        </w:rPr>
        <w:t>1</w:t>
      </w:r>
      <w:r w:rsidR="00ED459C" w:rsidRPr="00145DF5">
        <w:rPr>
          <w:rFonts w:ascii="Century Gothic" w:hAnsi="Century Gothic" w:cs="Arial"/>
          <w:b/>
          <w:sz w:val="28"/>
          <w:szCs w:val="28"/>
        </w:rPr>
        <w:t>1/2017</w:t>
      </w:r>
    </w:p>
    <w:p w:rsidR="00372C27" w:rsidRPr="00145DF5" w:rsidRDefault="00372C27" w:rsidP="00372C27">
      <w:pPr>
        <w:autoSpaceDE w:val="0"/>
        <w:autoSpaceDN w:val="0"/>
        <w:adjustRightInd w:val="0"/>
        <w:jc w:val="center"/>
        <w:rPr>
          <w:rFonts w:ascii="Century Gothic" w:hAnsi="Century Gothic" w:cs="Arial"/>
          <w:b/>
          <w:bCs/>
          <w:sz w:val="28"/>
          <w:szCs w:val="28"/>
        </w:rPr>
      </w:pPr>
      <w:r w:rsidRPr="00145DF5">
        <w:rPr>
          <w:rFonts w:ascii="Century Gothic" w:hAnsi="Century Gothic" w:cs="Arial"/>
          <w:b/>
          <w:bCs/>
          <w:sz w:val="28"/>
          <w:szCs w:val="28"/>
        </w:rPr>
        <w:t xml:space="preserve">PROCESSO N° </w:t>
      </w:r>
      <w:r w:rsidR="00ED459C" w:rsidRPr="00145DF5">
        <w:rPr>
          <w:rFonts w:ascii="Century Gothic" w:hAnsi="Century Gothic" w:cs="Arial"/>
          <w:b/>
          <w:bCs/>
          <w:sz w:val="28"/>
          <w:szCs w:val="28"/>
        </w:rPr>
        <w:t>0</w:t>
      </w:r>
      <w:r w:rsidR="008476C5">
        <w:rPr>
          <w:rFonts w:ascii="Century Gothic" w:hAnsi="Century Gothic" w:cs="Arial"/>
          <w:b/>
          <w:bCs/>
          <w:sz w:val="28"/>
          <w:szCs w:val="28"/>
        </w:rPr>
        <w:t>1</w:t>
      </w:r>
      <w:r w:rsidR="00ED459C" w:rsidRPr="00145DF5">
        <w:rPr>
          <w:rFonts w:ascii="Century Gothic" w:hAnsi="Century Gothic" w:cs="Arial"/>
          <w:b/>
          <w:bCs/>
          <w:sz w:val="28"/>
          <w:szCs w:val="28"/>
        </w:rPr>
        <w:t>1/2017</w:t>
      </w:r>
    </w:p>
    <w:p w:rsidR="00372C27" w:rsidRPr="00145DF5" w:rsidRDefault="00372C27" w:rsidP="00372C27">
      <w:pPr>
        <w:widowControl w:val="0"/>
        <w:jc w:val="center"/>
        <w:rPr>
          <w:rFonts w:ascii="Century Gothic" w:hAnsi="Century Gothic" w:cs="Arial"/>
          <w:b/>
          <w:bCs/>
          <w:sz w:val="28"/>
          <w:szCs w:val="28"/>
        </w:rPr>
      </w:pPr>
      <w:r w:rsidRPr="00145DF5">
        <w:rPr>
          <w:rFonts w:ascii="Century Gothic" w:hAnsi="Century Gothic" w:cs="Arial"/>
          <w:b/>
          <w:bCs/>
          <w:sz w:val="28"/>
          <w:szCs w:val="28"/>
        </w:rPr>
        <w:t>TIPO: MENOR PREÇO POR ITEM</w:t>
      </w:r>
    </w:p>
    <w:p w:rsidR="00372C27" w:rsidRPr="00145DF5" w:rsidRDefault="00372C27" w:rsidP="00372C27">
      <w:pPr>
        <w:widowControl w:val="0"/>
        <w:jc w:val="both"/>
        <w:rPr>
          <w:rFonts w:ascii="Century Gothic" w:eastAsia="MS Mincho" w:hAnsi="Century Gothic" w:cs="Arial"/>
          <w:b/>
          <w:bCs/>
          <w:sz w:val="28"/>
          <w:szCs w:val="28"/>
        </w:rPr>
      </w:pPr>
    </w:p>
    <w:p w:rsidR="00372C27" w:rsidRPr="00145DF5" w:rsidRDefault="00372C27" w:rsidP="00372C27">
      <w:pPr>
        <w:pStyle w:val="SemEspaamento"/>
        <w:jc w:val="both"/>
        <w:rPr>
          <w:rFonts w:ascii="Century Gothic" w:hAnsi="Century Gothic"/>
          <w:sz w:val="28"/>
          <w:szCs w:val="28"/>
        </w:rPr>
      </w:pPr>
      <w:r w:rsidRPr="00145DF5">
        <w:rPr>
          <w:rFonts w:ascii="Century Gothic" w:hAnsi="Century Gothic" w:cs="Arial"/>
          <w:b/>
          <w:bCs/>
          <w:sz w:val="28"/>
          <w:szCs w:val="28"/>
        </w:rPr>
        <w:t xml:space="preserve">OBJETO: </w:t>
      </w:r>
      <w:r w:rsidR="008476C5">
        <w:rPr>
          <w:rFonts w:ascii="Century Gothic" w:hAnsi="Century Gothic" w:cs="Arial"/>
          <w:bCs/>
          <w:sz w:val="28"/>
          <w:szCs w:val="28"/>
        </w:rPr>
        <w:t xml:space="preserve">Registro de Preços para a </w:t>
      </w:r>
      <w:r w:rsidR="008476C5" w:rsidRPr="007E1C15">
        <w:rPr>
          <w:rFonts w:ascii="Century Gothic" w:hAnsi="Century Gothic"/>
          <w:sz w:val="28"/>
          <w:szCs w:val="28"/>
        </w:rPr>
        <w:t xml:space="preserve">Aquisição de </w:t>
      </w:r>
      <w:r w:rsidR="008476C5">
        <w:rPr>
          <w:rFonts w:ascii="Century Gothic" w:hAnsi="Century Gothic"/>
          <w:sz w:val="28"/>
          <w:szCs w:val="28"/>
        </w:rPr>
        <w:t xml:space="preserve">Materiais de Laboratório, </w:t>
      </w:r>
      <w:r w:rsidR="008476C5" w:rsidRPr="00202367">
        <w:rPr>
          <w:rFonts w:ascii="Century Gothic" w:hAnsi="Century Gothic"/>
          <w:sz w:val="28"/>
          <w:szCs w:val="28"/>
        </w:rPr>
        <w:t>para o Centro de Saúde II “Doutor Jorge Meirelles da Rocha”, localizado na Rua Riachuelo n</w:t>
      </w:r>
      <w:r w:rsidR="008476C5" w:rsidRPr="00202367">
        <w:rPr>
          <w:rFonts w:ascii="Century Gothic" w:hAnsi="Century Gothic"/>
          <w:bCs/>
          <w:sz w:val="28"/>
          <w:szCs w:val="28"/>
        </w:rPr>
        <w:t>° 910 – Centro – Pirajuí – SP,</w:t>
      </w:r>
      <w:r w:rsidR="008476C5" w:rsidRPr="00202367">
        <w:rPr>
          <w:rFonts w:ascii="Century Gothic" w:hAnsi="Century Gothic"/>
          <w:sz w:val="28"/>
          <w:szCs w:val="28"/>
        </w:rPr>
        <w:t xml:space="preserve"> conforme especificações constantes do </w:t>
      </w:r>
      <w:r w:rsidR="008476C5" w:rsidRPr="00202367">
        <w:rPr>
          <w:rFonts w:ascii="Century Gothic" w:hAnsi="Century Gothic"/>
          <w:b/>
          <w:bCs/>
          <w:sz w:val="28"/>
          <w:szCs w:val="28"/>
        </w:rPr>
        <w:t>Anexo II – Memorial Descritivo</w:t>
      </w:r>
      <w:r w:rsidR="008476C5" w:rsidRPr="000B4352">
        <w:rPr>
          <w:rFonts w:ascii="Century Gothic" w:hAnsi="Century Gothic" w:cs="Arial"/>
          <w:bCs/>
          <w:sz w:val="28"/>
          <w:szCs w:val="28"/>
        </w:rPr>
        <w:t>.</w:t>
      </w:r>
    </w:p>
    <w:p w:rsidR="00372C27" w:rsidRPr="00145DF5" w:rsidRDefault="00372C27" w:rsidP="00372C27">
      <w:pPr>
        <w:autoSpaceDE w:val="0"/>
        <w:autoSpaceDN w:val="0"/>
        <w:adjustRightInd w:val="0"/>
        <w:jc w:val="both"/>
        <w:rPr>
          <w:rFonts w:ascii="Century Gothic" w:hAnsi="Century Gothic" w:cs="Arial"/>
          <w:bCs/>
          <w:sz w:val="28"/>
          <w:szCs w:val="28"/>
        </w:rPr>
      </w:pPr>
    </w:p>
    <w:p w:rsidR="00372C27" w:rsidRPr="00145DF5" w:rsidRDefault="00372C27" w:rsidP="00372C27">
      <w:pPr>
        <w:widowControl w:val="0"/>
        <w:jc w:val="both"/>
        <w:rPr>
          <w:rFonts w:ascii="Century Gothic" w:hAnsi="Century Gothic" w:cs="Arial"/>
          <w:b/>
          <w:sz w:val="28"/>
          <w:szCs w:val="28"/>
        </w:rPr>
      </w:pPr>
      <w:r w:rsidRPr="00145DF5">
        <w:rPr>
          <w:rFonts w:ascii="Century Gothic" w:hAnsi="Century Gothic" w:cs="Arial"/>
          <w:b/>
          <w:bCs/>
          <w:sz w:val="28"/>
          <w:szCs w:val="28"/>
        </w:rPr>
        <w:t xml:space="preserve">DATA DA REALIZAÇÃO: </w:t>
      </w:r>
      <w:r w:rsidR="008476C5">
        <w:rPr>
          <w:rFonts w:ascii="Century Gothic" w:hAnsi="Century Gothic" w:cs="Arial"/>
          <w:b/>
          <w:bCs/>
          <w:sz w:val="28"/>
          <w:szCs w:val="28"/>
        </w:rPr>
        <w:t>30/03</w:t>
      </w:r>
      <w:r w:rsidR="00ED459C" w:rsidRPr="00145DF5">
        <w:rPr>
          <w:rFonts w:ascii="Century Gothic" w:hAnsi="Century Gothic" w:cs="Arial"/>
          <w:b/>
          <w:bCs/>
          <w:sz w:val="28"/>
          <w:szCs w:val="28"/>
        </w:rPr>
        <w:t>/2017</w:t>
      </w:r>
      <w:r w:rsidRPr="00145DF5">
        <w:rPr>
          <w:rFonts w:ascii="Century Gothic" w:hAnsi="Century Gothic" w:cs="Arial"/>
          <w:b/>
          <w:bCs/>
          <w:sz w:val="28"/>
          <w:szCs w:val="28"/>
        </w:rPr>
        <w:t>.</w:t>
      </w:r>
    </w:p>
    <w:p w:rsidR="00372C27" w:rsidRPr="00145DF5" w:rsidRDefault="00372C27" w:rsidP="00372C27">
      <w:pPr>
        <w:widowControl w:val="0"/>
        <w:jc w:val="both"/>
        <w:rPr>
          <w:rFonts w:ascii="Century Gothic" w:hAnsi="Century Gothic" w:cs="Arial"/>
          <w:b/>
          <w:bCs/>
          <w:sz w:val="28"/>
          <w:szCs w:val="28"/>
        </w:rPr>
      </w:pPr>
    </w:p>
    <w:p w:rsidR="00372C27" w:rsidRPr="00145DF5" w:rsidRDefault="00372C27" w:rsidP="00372C27">
      <w:pPr>
        <w:widowControl w:val="0"/>
        <w:jc w:val="both"/>
        <w:rPr>
          <w:rFonts w:ascii="Century Gothic" w:hAnsi="Century Gothic" w:cs="Arial"/>
          <w:b/>
          <w:bCs/>
          <w:sz w:val="28"/>
          <w:szCs w:val="28"/>
        </w:rPr>
      </w:pPr>
      <w:r w:rsidRPr="00145DF5">
        <w:rPr>
          <w:rFonts w:ascii="Century Gothic" w:hAnsi="Century Gothic" w:cs="Arial"/>
          <w:b/>
          <w:bCs/>
          <w:sz w:val="28"/>
          <w:szCs w:val="28"/>
        </w:rPr>
        <w:t>HORÁRIO DE INÍCIO DA SESSÃO: 09H00.</w:t>
      </w:r>
    </w:p>
    <w:p w:rsidR="00372C27" w:rsidRPr="00145DF5" w:rsidRDefault="00372C27" w:rsidP="00372C27">
      <w:pPr>
        <w:widowControl w:val="0"/>
        <w:jc w:val="both"/>
        <w:rPr>
          <w:rFonts w:ascii="Century Gothic" w:hAnsi="Century Gothic" w:cs="Arial"/>
          <w:b/>
          <w:bCs/>
          <w:sz w:val="28"/>
          <w:szCs w:val="28"/>
        </w:rPr>
      </w:pPr>
    </w:p>
    <w:p w:rsidR="00372C27" w:rsidRPr="00145DF5" w:rsidRDefault="00372C27" w:rsidP="00372C27">
      <w:pPr>
        <w:autoSpaceDE w:val="0"/>
        <w:autoSpaceDN w:val="0"/>
        <w:adjustRightInd w:val="0"/>
        <w:jc w:val="both"/>
        <w:rPr>
          <w:rFonts w:ascii="Century Gothic" w:eastAsia="MS Mincho" w:hAnsi="Century Gothic" w:cs="Arial"/>
          <w:b/>
          <w:bCs/>
          <w:sz w:val="28"/>
          <w:szCs w:val="28"/>
        </w:rPr>
      </w:pPr>
      <w:r w:rsidRPr="00145DF5">
        <w:rPr>
          <w:rFonts w:ascii="Century Gothic" w:hAnsi="Century Gothic" w:cs="Arial"/>
          <w:b/>
          <w:bCs/>
          <w:sz w:val="28"/>
          <w:szCs w:val="28"/>
        </w:rPr>
        <w:t>LOCAL DA REALIZAÇÃO DA SESSÃO</w:t>
      </w:r>
      <w:r w:rsidRPr="00145DF5">
        <w:rPr>
          <w:rFonts w:ascii="Century Gothic" w:hAnsi="Century Gothic" w:cs="Arial"/>
          <w:sz w:val="28"/>
          <w:szCs w:val="28"/>
        </w:rPr>
        <w:t xml:space="preserve">: </w:t>
      </w:r>
      <w:r w:rsidRPr="00145DF5">
        <w:rPr>
          <w:rFonts w:ascii="Century Gothic" w:hAnsi="Century Gothic" w:cs="Arial"/>
          <w:b/>
          <w:bCs/>
          <w:sz w:val="28"/>
          <w:szCs w:val="28"/>
        </w:rPr>
        <w:t>Sala da Comissão de Licitações</w:t>
      </w:r>
      <w:r w:rsidRPr="00145DF5">
        <w:rPr>
          <w:rFonts w:ascii="Century Gothic" w:hAnsi="Century Gothic" w:cs="Arial"/>
          <w:bCs/>
          <w:sz w:val="28"/>
          <w:szCs w:val="28"/>
        </w:rPr>
        <w:t xml:space="preserve">, </w:t>
      </w:r>
      <w:r w:rsidRPr="00145DF5">
        <w:rPr>
          <w:rFonts w:ascii="Century Gothic" w:hAnsi="Century Gothic" w:cs="Arial"/>
          <w:sz w:val="28"/>
          <w:szCs w:val="28"/>
        </w:rPr>
        <w:t>localizada na Praça Doutor Pedro da Rocha Braga n</w:t>
      </w:r>
      <w:r w:rsidRPr="00145DF5">
        <w:rPr>
          <w:rFonts w:ascii="Century Gothic" w:hAnsi="Century Gothic" w:cs="Arial"/>
          <w:bCs/>
          <w:sz w:val="28"/>
          <w:szCs w:val="28"/>
        </w:rPr>
        <w:t xml:space="preserve">° </w:t>
      </w:r>
      <w:r w:rsidRPr="00145DF5">
        <w:rPr>
          <w:rFonts w:ascii="Century Gothic" w:hAnsi="Century Gothic" w:cs="Arial"/>
          <w:sz w:val="28"/>
          <w:szCs w:val="28"/>
        </w:rPr>
        <w:t>116 – Centro – CEP 16.600-000. A sessão será conduzida pelo Pregoeiro, com o auxílio da Equipe de Apoio, designados nos autos do Processo n</w:t>
      </w:r>
      <w:r w:rsidRPr="00145DF5">
        <w:rPr>
          <w:rFonts w:ascii="Century Gothic" w:hAnsi="Century Gothic" w:cs="Arial"/>
          <w:bCs/>
          <w:sz w:val="28"/>
          <w:szCs w:val="28"/>
        </w:rPr>
        <w:t xml:space="preserve">° </w:t>
      </w:r>
      <w:r w:rsidR="00ED459C" w:rsidRPr="00145DF5">
        <w:rPr>
          <w:rFonts w:ascii="Century Gothic" w:hAnsi="Century Gothic" w:cs="Arial"/>
          <w:sz w:val="28"/>
          <w:szCs w:val="28"/>
        </w:rPr>
        <w:t>0</w:t>
      </w:r>
      <w:r w:rsidR="008476C5">
        <w:rPr>
          <w:rFonts w:ascii="Century Gothic" w:hAnsi="Century Gothic" w:cs="Arial"/>
          <w:sz w:val="28"/>
          <w:szCs w:val="28"/>
        </w:rPr>
        <w:t>1</w:t>
      </w:r>
      <w:r w:rsidR="00ED459C" w:rsidRPr="00145DF5">
        <w:rPr>
          <w:rFonts w:ascii="Century Gothic" w:hAnsi="Century Gothic" w:cs="Arial"/>
          <w:sz w:val="28"/>
          <w:szCs w:val="28"/>
        </w:rPr>
        <w:t>1/2017</w:t>
      </w:r>
      <w:r w:rsidRPr="00145DF5">
        <w:rPr>
          <w:rFonts w:ascii="Century Gothic" w:hAnsi="Century Gothic" w:cs="Arial"/>
          <w:sz w:val="28"/>
          <w:szCs w:val="28"/>
        </w:rPr>
        <w:t>. Os envelopes contendo a proposta e os documentos de habilitação serão recebidos na sessão de processamento logo após o credenciamento dos interessados.</w:t>
      </w:r>
    </w:p>
    <w:p w:rsidR="00372C27" w:rsidRPr="00145DF5" w:rsidRDefault="00372C27" w:rsidP="00372C27">
      <w:pPr>
        <w:widowControl w:val="0"/>
        <w:jc w:val="both"/>
        <w:rPr>
          <w:rFonts w:ascii="Century Gothic" w:hAnsi="Century Gothic" w:cs="Arial"/>
          <w:b/>
          <w:bCs/>
          <w:sz w:val="28"/>
          <w:szCs w:val="28"/>
        </w:rPr>
      </w:pPr>
    </w:p>
    <w:p w:rsidR="00695290" w:rsidRPr="00145DF5" w:rsidRDefault="00372C27" w:rsidP="00372C27">
      <w:pPr>
        <w:autoSpaceDE w:val="0"/>
        <w:autoSpaceDN w:val="0"/>
        <w:adjustRightInd w:val="0"/>
        <w:jc w:val="both"/>
        <w:rPr>
          <w:rFonts w:ascii="Century Gothic" w:eastAsia="Calibri" w:hAnsi="Century Gothic" w:cs="Arial"/>
          <w:sz w:val="28"/>
          <w:szCs w:val="28"/>
          <w:lang w:eastAsia="en-US"/>
        </w:rPr>
      </w:pPr>
      <w:r w:rsidRPr="00145DF5">
        <w:rPr>
          <w:rFonts w:ascii="Century Gothic" w:hAnsi="Century Gothic" w:cs="Arial"/>
          <w:b/>
          <w:bCs/>
          <w:sz w:val="28"/>
          <w:szCs w:val="28"/>
        </w:rPr>
        <w:t>ESCLARECIMENTOS E IMPUGNAÇÕES</w:t>
      </w:r>
      <w:r w:rsidRPr="00145DF5">
        <w:rPr>
          <w:rFonts w:ascii="Century Gothic" w:hAnsi="Century Gothic" w:cs="Arial"/>
          <w:sz w:val="28"/>
          <w:szCs w:val="28"/>
        </w:rPr>
        <w:t xml:space="preserve">: </w:t>
      </w:r>
      <w:r w:rsidRPr="00145DF5">
        <w:rPr>
          <w:rFonts w:ascii="Century Gothic" w:hAnsi="Century Gothic" w:cs="Calibri"/>
          <w:b/>
          <w:bCs/>
          <w:sz w:val="28"/>
          <w:szCs w:val="28"/>
        </w:rPr>
        <w:t>Diretoria de Divisão de Compras e Licitações</w:t>
      </w:r>
      <w:r w:rsidRPr="00145DF5">
        <w:rPr>
          <w:rFonts w:ascii="Century Gothic" w:hAnsi="Century Gothic" w:cs="Arial"/>
          <w:sz w:val="28"/>
          <w:szCs w:val="28"/>
        </w:rPr>
        <w:t>, localizada na Praça Doutor Pedro da Rocha Braga n</w:t>
      </w:r>
      <w:r w:rsidRPr="00145DF5">
        <w:rPr>
          <w:rFonts w:ascii="Century Gothic" w:hAnsi="Century Gothic" w:cs="Arial"/>
          <w:bCs/>
          <w:sz w:val="28"/>
          <w:szCs w:val="28"/>
        </w:rPr>
        <w:t xml:space="preserve">° </w:t>
      </w:r>
      <w:r w:rsidRPr="00145DF5">
        <w:rPr>
          <w:rFonts w:ascii="Century Gothic" w:hAnsi="Century Gothic" w:cs="Arial"/>
          <w:sz w:val="28"/>
          <w:szCs w:val="28"/>
        </w:rPr>
        <w:t>116 – Centro – CEP 16.600-000 – Telefone (0XX14) 3572-8222, e-mail: licitacao@pirajui.sp.gov.br</w:t>
      </w:r>
      <w:r w:rsidR="00534669" w:rsidRPr="00145DF5">
        <w:rPr>
          <w:rFonts w:ascii="Century Gothic" w:hAnsi="Century Gothic" w:cs="Arial"/>
          <w:sz w:val="28"/>
          <w:szCs w:val="28"/>
        </w:rPr>
        <w:t>.</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Default="00145DF5" w:rsidP="002078E6">
      <w:pPr>
        <w:pStyle w:val="Default"/>
        <w:ind w:firstLine="0"/>
        <w:jc w:val="both"/>
        <w:rPr>
          <w:rFonts w:ascii="Century Gothic" w:hAnsi="Century Gothic"/>
          <w:bCs/>
          <w:sz w:val="28"/>
          <w:szCs w:val="28"/>
          <w:lang w:val="pt-BR"/>
        </w:rPr>
      </w:pPr>
      <w:r>
        <w:rPr>
          <w:rFonts w:ascii="Century Gothic" w:hAnsi="Century Gothic"/>
          <w:color w:val="auto"/>
          <w:sz w:val="28"/>
          <w:szCs w:val="28"/>
          <w:lang w:val="pt-BR"/>
        </w:rPr>
        <w:t>O</w:t>
      </w:r>
      <w:r w:rsidR="009A5808" w:rsidRPr="00145DF5">
        <w:rPr>
          <w:rFonts w:ascii="Century Gothic" w:hAnsi="Century Gothic"/>
          <w:color w:val="auto"/>
          <w:sz w:val="28"/>
          <w:szCs w:val="28"/>
          <w:lang w:val="pt-BR"/>
        </w:rPr>
        <w:t xml:space="preserve"> </w:t>
      </w:r>
      <w:r w:rsidR="00D329EE" w:rsidRPr="00145DF5">
        <w:rPr>
          <w:rFonts w:ascii="Century Gothic" w:hAnsi="Century Gothic"/>
          <w:b/>
          <w:color w:val="auto"/>
          <w:sz w:val="28"/>
          <w:szCs w:val="28"/>
          <w:lang w:val="pt-BR"/>
        </w:rPr>
        <w:t xml:space="preserve">SENHOR </w:t>
      </w:r>
      <w:r w:rsidRPr="00145DF5">
        <w:rPr>
          <w:rFonts w:ascii="Century Gothic" w:hAnsi="Century Gothic"/>
          <w:b/>
          <w:sz w:val="28"/>
          <w:szCs w:val="28"/>
          <w:lang w:val="pt-BR"/>
        </w:rPr>
        <w:t>CESAR HENRIQUE DA CUNHA FIALA</w:t>
      </w:r>
      <w:r w:rsidR="00D329EE" w:rsidRPr="00145DF5">
        <w:rPr>
          <w:rFonts w:ascii="Century Gothic" w:hAnsi="Century Gothic"/>
          <w:b/>
          <w:color w:val="auto"/>
          <w:sz w:val="28"/>
          <w:szCs w:val="28"/>
          <w:lang w:val="pt-BR"/>
        </w:rPr>
        <w:t>, PREFEIT</w:t>
      </w:r>
      <w:r>
        <w:rPr>
          <w:rFonts w:ascii="Century Gothic" w:hAnsi="Century Gothic"/>
          <w:b/>
          <w:color w:val="auto"/>
          <w:sz w:val="28"/>
          <w:szCs w:val="28"/>
          <w:lang w:val="pt-BR"/>
        </w:rPr>
        <w:t>O</w:t>
      </w:r>
      <w:r w:rsidR="00D329EE" w:rsidRPr="00145DF5">
        <w:rPr>
          <w:rFonts w:ascii="Century Gothic" w:hAnsi="Century Gothic"/>
          <w:b/>
          <w:color w:val="auto"/>
          <w:sz w:val="28"/>
          <w:szCs w:val="28"/>
          <w:lang w:val="pt-BR"/>
        </w:rPr>
        <w:t xml:space="preserve"> MUNICIPAL DE </w:t>
      </w:r>
      <w:r w:rsidR="00534669" w:rsidRPr="00145DF5">
        <w:rPr>
          <w:rFonts w:ascii="Century Gothic" w:hAnsi="Century Gothic"/>
          <w:b/>
          <w:color w:val="auto"/>
          <w:sz w:val="28"/>
          <w:szCs w:val="28"/>
          <w:lang w:val="pt-BR"/>
        </w:rPr>
        <w:t>PIRAJUÍ</w:t>
      </w:r>
      <w:r w:rsidR="00D329EE" w:rsidRPr="00145DF5">
        <w:rPr>
          <w:rFonts w:ascii="Century Gothic" w:hAnsi="Century Gothic"/>
          <w:b/>
          <w:color w:val="auto"/>
          <w:sz w:val="28"/>
          <w:szCs w:val="28"/>
          <w:lang w:val="pt-BR"/>
        </w:rPr>
        <w:t>, ESTADO DE SÃO PAULO</w:t>
      </w:r>
      <w:r w:rsidR="009A5808" w:rsidRPr="00145DF5">
        <w:rPr>
          <w:rFonts w:ascii="Century Gothic" w:hAnsi="Century Gothic"/>
          <w:color w:val="auto"/>
          <w:sz w:val="28"/>
          <w:szCs w:val="28"/>
          <w:lang w:val="pt-BR"/>
        </w:rPr>
        <w:t xml:space="preserve">, torna </w:t>
      </w:r>
      <w:r w:rsidR="009002CF" w:rsidRPr="00145DF5">
        <w:rPr>
          <w:rFonts w:ascii="Century Gothic" w:hAnsi="Century Gothic"/>
          <w:color w:val="auto"/>
          <w:sz w:val="28"/>
          <w:szCs w:val="28"/>
          <w:lang w:val="pt-BR"/>
        </w:rPr>
        <w:t>público que se acha aberta neste</w:t>
      </w:r>
      <w:r w:rsidR="009A5808" w:rsidRPr="00145DF5">
        <w:rPr>
          <w:rFonts w:ascii="Century Gothic" w:hAnsi="Century Gothic"/>
          <w:color w:val="auto"/>
          <w:sz w:val="28"/>
          <w:szCs w:val="28"/>
          <w:lang w:val="pt-BR"/>
        </w:rPr>
        <w:t xml:space="preserve"> </w:t>
      </w:r>
      <w:r w:rsidR="009002CF" w:rsidRPr="00145DF5">
        <w:rPr>
          <w:rFonts w:ascii="Century Gothic" w:hAnsi="Century Gothic"/>
          <w:color w:val="auto"/>
          <w:sz w:val="28"/>
          <w:szCs w:val="28"/>
          <w:lang w:val="pt-BR"/>
        </w:rPr>
        <w:t xml:space="preserve">Município de </w:t>
      </w:r>
      <w:r w:rsidR="00534669" w:rsidRPr="00145DF5">
        <w:rPr>
          <w:rFonts w:ascii="Century Gothic" w:hAnsi="Century Gothic"/>
          <w:color w:val="auto"/>
          <w:sz w:val="28"/>
          <w:szCs w:val="28"/>
          <w:lang w:val="pt-BR"/>
        </w:rPr>
        <w:t>Pirajuí</w:t>
      </w:r>
      <w:r w:rsidR="009A5808" w:rsidRPr="00145DF5">
        <w:rPr>
          <w:rFonts w:ascii="Century Gothic" w:hAnsi="Century Gothic"/>
          <w:color w:val="auto"/>
          <w:sz w:val="28"/>
          <w:szCs w:val="28"/>
          <w:lang w:val="pt-BR"/>
        </w:rPr>
        <w:t xml:space="preserve">, licitação na modalidade </w:t>
      </w:r>
      <w:r w:rsidR="00D329EE" w:rsidRPr="00145DF5">
        <w:rPr>
          <w:rFonts w:ascii="Century Gothic" w:hAnsi="Century Gothic"/>
          <w:color w:val="auto"/>
          <w:sz w:val="28"/>
          <w:szCs w:val="28"/>
          <w:lang w:val="pt-BR"/>
        </w:rPr>
        <w:t>PREGÃO (PRESENCIAL</w:t>
      </w:r>
      <w:r w:rsidR="009A5808" w:rsidRPr="00145DF5">
        <w:rPr>
          <w:rFonts w:ascii="Century Gothic" w:hAnsi="Century Gothic"/>
          <w:color w:val="auto"/>
          <w:sz w:val="28"/>
          <w:szCs w:val="28"/>
          <w:lang w:val="pt-BR"/>
        </w:rPr>
        <w:t>),</w:t>
      </w:r>
      <w:r w:rsidR="001E511D" w:rsidRPr="00145DF5">
        <w:rPr>
          <w:rFonts w:ascii="Century Gothic" w:hAnsi="Century Gothic"/>
          <w:color w:val="auto"/>
          <w:sz w:val="28"/>
          <w:szCs w:val="28"/>
          <w:lang w:val="pt-BR"/>
        </w:rPr>
        <w:t xml:space="preserve"> do tipo </w:t>
      </w:r>
      <w:r w:rsidR="001E511D" w:rsidRPr="00145DF5">
        <w:rPr>
          <w:rFonts w:ascii="Century Gothic" w:hAnsi="Century Gothic"/>
          <w:b/>
          <w:bCs/>
          <w:color w:val="auto"/>
          <w:sz w:val="28"/>
          <w:szCs w:val="28"/>
          <w:lang w:val="pt-BR"/>
        </w:rPr>
        <w:t>MENOR PREÇO</w:t>
      </w:r>
      <w:r w:rsidR="00D35465" w:rsidRPr="00145DF5">
        <w:rPr>
          <w:rFonts w:ascii="Century Gothic" w:hAnsi="Century Gothic"/>
          <w:b/>
          <w:bCs/>
          <w:color w:val="auto"/>
          <w:sz w:val="28"/>
          <w:szCs w:val="28"/>
          <w:lang w:val="pt-BR"/>
        </w:rPr>
        <w:t xml:space="preserve"> POR ITEM</w:t>
      </w:r>
      <w:r w:rsidR="001E511D" w:rsidRPr="00145DF5">
        <w:rPr>
          <w:rFonts w:ascii="Century Gothic" w:hAnsi="Century Gothic"/>
          <w:color w:val="auto"/>
          <w:sz w:val="28"/>
          <w:szCs w:val="28"/>
          <w:lang w:val="pt-BR"/>
        </w:rPr>
        <w:t xml:space="preserve">, objetivando o </w:t>
      </w:r>
      <w:r w:rsidR="00C60AED">
        <w:rPr>
          <w:rFonts w:ascii="Century Gothic" w:hAnsi="Century Gothic"/>
          <w:bCs/>
          <w:sz w:val="28"/>
          <w:szCs w:val="28"/>
        </w:rPr>
        <w:t xml:space="preserve">Registro de Preços para a </w:t>
      </w:r>
      <w:r w:rsidR="00C60AED" w:rsidRPr="007E1C15">
        <w:rPr>
          <w:rFonts w:ascii="Century Gothic" w:hAnsi="Century Gothic"/>
          <w:sz w:val="28"/>
          <w:szCs w:val="28"/>
        </w:rPr>
        <w:t xml:space="preserve">Aquisição de </w:t>
      </w:r>
      <w:r w:rsidR="00C60AED">
        <w:rPr>
          <w:rFonts w:ascii="Century Gothic" w:hAnsi="Century Gothic"/>
          <w:sz w:val="28"/>
          <w:szCs w:val="28"/>
        </w:rPr>
        <w:t xml:space="preserve">Materiais de Laboratório, </w:t>
      </w:r>
      <w:r w:rsidR="00C60AED" w:rsidRPr="00202367">
        <w:rPr>
          <w:rFonts w:ascii="Century Gothic" w:hAnsi="Century Gothic"/>
          <w:sz w:val="28"/>
          <w:szCs w:val="28"/>
        </w:rPr>
        <w:t>para o Centro de Saúde II “Doutor Jorge Meirelles da Rocha”, localizado na Rua Riachuelo n</w:t>
      </w:r>
      <w:r w:rsidR="00C60AED" w:rsidRPr="00202367">
        <w:rPr>
          <w:rFonts w:ascii="Century Gothic" w:hAnsi="Century Gothic"/>
          <w:bCs/>
          <w:sz w:val="28"/>
          <w:szCs w:val="28"/>
        </w:rPr>
        <w:t>° 910 – Centro – Pirajuí – SP,</w:t>
      </w:r>
      <w:r w:rsidR="00C60AED" w:rsidRPr="00202367">
        <w:rPr>
          <w:rFonts w:ascii="Century Gothic" w:hAnsi="Century Gothic"/>
          <w:sz w:val="28"/>
          <w:szCs w:val="28"/>
        </w:rPr>
        <w:t xml:space="preserve"> conforme especificações constantes do </w:t>
      </w:r>
      <w:r w:rsidR="00C60AED" w:rsidRPr="00202367">
        <w:rPr>
          <w:rFonts w:ascii="Century Gothic" w:hAnsi="Century Gothic"/>
          <w:b/>
          <w:bCs/>
          <w:sz w:val="28"/>
          <w:szCs w:val="28"/>
        </w:rPr>
        <w:t>Anexo II – Memorial Descritivo</w:t>
      </w:r>
      <w:r w:rsidR="002078E6">
        <w:rPr>
          <w:rFonts w:ascii="Century Gothic" w:hAnsi="Century Gothic"/>
          <w:bCs/>
          <w:sz w:val="28"/>
          <w:szCs w:val="28"/>
          <w:lang w:val="pt-BR"/>
        </w:rPr>
        <w:t>.</w:t>
      </w:r>
    </w:p>
    <w:p w:rsidR="002078E6" w:rsidRPr="002078E6" w:rsidRDefault="002078E6" w:rsidP="002078E6">
      <w:pPr>
        <w:pStyle w:val="Default"/>
        <w:ind w:firstLine="0"/>
        <w:jc w:val="both"/>
        <w:rPr>
          <w:rFonts w:ascii="Century Gothic" w:hAnsi="Century Gothic"/>
          <w:sz w:val="28"/>
          <w:szCs w:val="28"/>
          <w:lang w:val="pt-BR"/>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sz w:val="28"/>
          <w:szCs w:val="28"/>
        </w:rPr>
        <w:lastRenderedPageBreak/>
        <w:t xml:space="preserve">Este certame será regido pela Lei Federal nº 10.520, de 17 de julho de 2002, aplicando-se, subsidiariamente, no que couberem, as disposições da Lei Federal nº 8.666, de 21 de junho de 1993, da Lei Estadual nº 6.544, de 22 de novembro de 1989, e suas alterações e da Lei Complementar nº 123, de 14 de dezembro de 2006. </w:t>
      </w:r>
    </w:p>
    <w:p w:rsidR="00695290" w:rsidRPr="00145DF5" w:rsidRDefault="00695290"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sz w:val="28"/>
          <w:szCs w:val="28"/>
        </w:rPr>
      </w:pPr>
      <w:r w:rsidRPr="00145DF5">
        <w:rPr>
          <w:rFonts w:ascii="Century Gothic" w:hAnsi="Century Gothic"/>
          <w:sz w:val="28"/>
          <w:szCs w:val="28"/>
        </w:rPr>
        <w:t>Integram este Edital os Anexos de I a VI</w:t>
      </w:r>
      <w:r w:rsidR="004354DF" w:rsidRPr="00145DF5">
        <w:rPr>
          <w:rFonts w:ascii="Century Gothic" w:hAnsi="Century Gothic"/>
          <w:sz w:val="28"/>
          <w:szCs w:val="28"/>
        </w:rPr>
        <w:t>I</w:t>
      </w:r>
      <w:r w:rsidRPr="00145DF5">
        <w:rPr>
          <w:rFonts w:ascii="Century Gothic" w:hAnsi="Century Gothic"/>
          <w:sz w:val="28"/>
          <w:szCs w:val="28"/>
        </w:rPr>
        <w:t>.</w:t>
      </w:r>
    </w:p>
    <w:p w:rsidR="00D670EF" w:rsidRPr="00145DF5" w:rsidRDefault="00D670EF" w:rsidP="00BE70D4">
      <w:pPr>
        <w:pStyle w:val="Default"/>
        <w:ind w:firstLine="0"/>
        <w:jc w:val="both"/>
        <w:rPr>
          <w:rFonts w:ascii="Century Gothic" w:hAnsi="Century Gothic"/>
          <w:color w:val="auto"/>
          <w:sz w:val="28"/>
          <w:szCs w:val="28"/>
          <w:lang w:val="pt-BR"/>
        </w:rPr>
      </w:pPr>
    </w:p>
    <w:p w:rsidR="001E511D" w:rsidRPr="00145DF5" w:rsidRDefault="001E511D" w:rsidP="00BE70D4">
      <w:pPr>
        <w:pStyle w:val="Default"/>
        <w:ind w:firstLine="0"/>
        <w:jc w:val="both"/>
        <w:rPr>
          <w:rFonts w:ascii="Century Gothic" w:hAnsi="Century Gothic"/>
          <w:color w:val="auto"/>
          <w:sz w:val="28"/>
          <w:szCs w:val="28"/>
          <w:lang w:val="pt-BR"/>
        </w:rPr>
      </w:pPr>
      <w:r w:rsidRPr="00145DF5">
        <w:rPr>
          <w:rFonts w:ascii="Century Gothic" w:hAnsi="Century Gothic"/>
          <w:color w:val="auto"/>
          <w:sz w:val="28"/>
          <w:szCs w:val="28"/>
          <w:lang w:val="pt-BR"/>
        </w:rPr>
        <w:t>As propostas deverão obedecer às especificações e exigências constantes deste instrumento convocatório, bem como do Anexo II.</w:t>
      </w:r>
    </w:p>
    <w:p w:rsidR="001E511D" w:rsidRPr="00145DF5" w:rsidRDefault="001E511D" w:rsidP="00BE70D4">
      <w:pPr>
        <w:autoSpaceDE w:val="0"/>
        <w:autoSpaceDN w:val="0"/>
        <w:adjustRightInd w:val="0"/>
        <w:jc w:val="both"/>
        <w:rPr>
          <w:rFonts w:ascii="Century Gothic" w:hAnsi="Century Gothic" w:cs="Arial"/>
          <w:sz w:val="28"/>
          <w:szCs w:val="28"/>
        </w:rPr>
      </w:pPr>
    </w:p>
    <w:p w:rsidR="00D329EE" w:rsidRPr="00145DF5" w:rsidRDefault="001E511D" w:rsidP="00BE70D4">
      <w:pPr>
        <w:autoSpaceDE w:val="0"/>
        <w:autoSpaceDN w:val="0"/>
        <w:adjustRightInd w:val="0"/>
        <w:jc w:val="both"/>
        <w:rPr>
          <w:rFonts w:ascii="Century Gothic" w:hAnsi="Century Gothic" w:cs="Arial"/>
          <w:sz w:val="28"/>
          <w:szCs w:val="28"/>
        </w:rPr>
      </w:pPr>
      <w:r w:rsidRPr="00145DF5">
        <w:rPr>
          <w:rFonts w:ascii="Century Gothic" w:hAnsi="Century Gothic" w:cs="Arial"/>
          <w:sz w:val="28"/>
          <w:szCs w:val="28"/>
        </w:rPr>
        <w:t>A quantidade indicada no Anexo II representa estimativa de consumo anual sem que haja obrigação de aquisição total.</w:t>
      </w:r>
    </w:p>
    <w:p w:rsidR="001E511D" w:rsidRPr="00145DF5" w:rsidRDefault="001E511D" w:rsidP="00BE70D4">
      <w:pPr>
        <w:autoSpaceDE w:val="0"/>
        <w:autoSpaceDN w:val="0"/>
        <w:adjustRightInd w:val="0"/>
        <w:jc w:val="both"/>
        <w:rPr>
          <w:rFonts w:ascii="Century Gothic" w:hAnsi="Century Gothic" w:cs="Arial"/>
          <w:b/>
          <w:bCs/>
          <w:sz w:val="28"/>
          <w:szCs w:val="28"/>
        </w:rPr>
      </w:pPr>
    </w:p>
    <w:p w:rsidR="009A5808" w:rsidRPr="00145DF5" w:rsidRDefault="009A5808" w:rsidP="00BE70D4">
      <w:pPr>
        <w:autoSpaceDE w:val="0"/>
        <w:autoSpaceDN w:val="0"/>
        <w:adjustRightInd w:val="0"/>
        <w:jc w:val="both"/>
        <w:rPr>
          <w:rFonts w:ascii="Century Gothic" w:hAnsi="Century Gothic" w:cs="Arial"/>
          <w:b/>
          <w:bCs/>
          <w:sz w:val="28"/>
          <w:szCs w:val="28"/>
        </w:rPr>
      </w:pPr>
      <w:r w:rsidRPr="00145DF5">
        <w:rPr>
          <w:rFonts w:ascii="Century Gothic" w:hAnsi="Century Gothic" w:cs="Arial"/>
          <w:b/>
          <w:bCs/>
          <w:sz w:val="28"/>
          <w:szCs w:val="28"/>
        </w:rPr>
        <w:t>1 – PARTICIPAÇÃO</w:t>
      </w:r>
    </w:p>
    <w:p w:rsidR="009A5808" w:rsidRPr="00145DF5" w:rsidRDefault="009A5808" w:rsidP="00BE70D4">
      <w:pPr>
        <w:autoSpaceDE w:val="0"/>
        <w:autoSpaceDN w:val="0"/>
        <w:adjustRightInd w:val="0"/>
        <w:jc w:val="both"/>
        <w:rPr>
          <w:rFonts w:ascii="Century Gothic" w:hAnsi="Century Gothic" w:cs="Arial"/>
          <w:b/>
          <w:bCs/>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1.1 </w:t>
      </w:r>
      <w:r w:rsidRPr="00145DF5">
        <w:rPr>
          <w:rFonts w:ascii="Century Gothic" w:hAnsi="Century Gothic" w:cs="Arial"/>
          <w:sz w:val="28"/>
          <w:szCs w:val="28"/>
        </w:rPr>
        <w:t xml:space="preserve">– </w:t>
      </w:r>
      <w:r w:rsidRPr="00145DF5">
        <w:rPr>
          <w:rFonts w:ascii="Century Gothic" w:hAnsi="Century Gothic"/>
          <w:sz w:val="28"/>
          <w:szCs w:val="28"/>
        </w:rPr>
        <w:t>Poderão participar desta licitação as empresas do ramo de atividade pertinente ao objeto licitado e que atendam aos requisitos de habilitação previstos neste Edital.</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1.2 </w:t>
      </w:r>
      <w:r w:rsidRPr="00145DF5">
        <w:rPr>
          <w:rFonts w:ascii="Century Gothic" w:hAnsi="Century Gothic" w:cs="Arial"/>
          <w:sz w:val="28"/>
          <w:szCs w:val="28"/>
        </w:rPr>
        <w:t>– Não será permitida a participação de empresas:</w:t>
      </w: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sz w:val="28"/>
          <w:szCs w:val="28"/>
        </w:rPr>
        <w:t xml:space="preserve"> </w:t>
      </w: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1.2.1 </w:t>
      </w:r>
      <w:r w:rsidRPr="00145DF5">
        <w:rPr>
          <w:rFonts w:ascii="Century Gothic" w:hAnsi="Century Gothic" w:cs="Arial"/>
          <w:sz w:val="28"/>
          <w:szCs w:val="28"/>
        </w:rPr>
        <w:t xml:space="preserve">– Estrangeiras que não funcionem no País; </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1.2.2 </w:t>
      </w:r>
      <w:r w:rsidRPr="00145DF5">
        <w:rPr>
          <w:rFonts w:ascii="Century Gothic" w:hAnsi="Century Gothic" w:cs="Arial"/>
          <w:sz w:val="28"/>
          <w:szCs w:val="28"/>
        </w:rPr>
        <w:t xml:space="preserve">– Reunidas sob a forma de consórcio, qualquer que seja sua forma de constituição; </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1.2.3 </w:t>
      </w:r>
      <w:r w:rsidRPr="00145DF5">
        <w:rPr>
          <w:rFonts w:ascii="Century Gothic" w:hAnsi="Century Gothic" w:cs="Arial"/>
          <w:sz w:val="28"/>
          <w:szCs w:val="28"/>
        </w:rPr>
        <w:t xml:space="preserve">– Suspensas temporariamente para licitar e impedidas de contratar com esta Administração nos termos do inciso III do artigo 87 da Lei 8.666/93 e suas alterações posteriores; </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1.2.4</w:t>
      </w:r>
      <w:r w:rsidRPr="00145DF5">
        <w:rPr>
          <w:rFonts w:ascii="Century Gothic" w:hAnsi="Century Gothic" w:cs="Arial"/>
          <w:bCs/>
          <w:sz w:val="28"/>
          <w:szCs w:val="28"/>
        </w:rPr>
        <w:t xml:space="preserve"> –</w:t>
      </w:r>
      <w:r w:rsidRPr="00145DF5">
        <w:rPr>
          <w:rFonts w:ascii="Century Gothic" w:hAnsi="Century Gothic" w:cs="Arial"/>
          <w:sz w:val="28"/>
          <w:szCs w:val="28"/>
        </w:rPr>
        <w:t xml:space="preserve"> Impedidas de licitar e contratar nos termos do art. 7º da Lei 10.520/02; </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1.2.5 </w:t>
      </w:r>
      <w:r w:rsidRPr="00145DF5">
        <w:rPr>
          <w:rFonts w:ascii="Century Gothic" w:hAnsi="Century Gothic" w:cs="Arial"/>
          <w:sz w:val="28"/>
          <w:szCs w:val="28"/>
        </w:rPr>
        <w:t xml:space="preserve">– Impedidas de licitar e contratar nos termos do art. 10º da Lei 9.605/98; </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b/>
          <w:bCs/>
          <w:sz w:val="28"/>
          <w:szCs w:val="28"/>
        </w:rPr>
        <w:t xml:space="preserve">1.2.6 </w:t>
      </w:r>
      <w:r w:rsidRPr="00145DF5">
        <w:rPr>
          <w:rFonts w:ascii="Century Gothic" w:hAnsi="Century Gothic"/>
          <w:sz w:val="28"/>
          <w:szCs w:val="28"/>
        </w:rPr>
        <w:t>– Declaradas inidôneas pelo Poder Público e não reabilitadas</w:t>
      </w:r>
      <w:r w:rsidRPr="00145DF5">
        <w:rPr>
          <w:rFonts w:ascii="Century Gothic" w:hAnsi="Century Gothic" w:cs="Arial"/>
          <w:sz w:val="28"/>
          <w:szCs w:val="28"/>
        </w:rPr>
        <w:t>.</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b/>
          <w:bCs/>
          <w:sz w:val="28"/>
          <w:szCs w:val="28"/>
        </w:rPr>
      </w:pPr>
      <w:r w:rsidRPr="00145DF5">
        <w:rPr>
          <w:rFonts w:ascii="Century Gothic" w:hAnsi="Century Gothic" w:cs="Arial"/>
          <w:b/>
          <w:bCs/>
          <w:sz w:val="28"/>
          <w:szCs w:val="28"/>
        </w:rPr>
        <w:lastRenderedPageBreak/>
        <w:t>2 – CREDENCIAMENTO</w:t>
      </w:r>
    </w:p>
    <w:p w:rsidR="009A5808" w:rsidRPr="00145DF5" w:rsidRDefault="009A5808" w:rsidP="00BE70D4">
      <w:pPr>
        <w:autoSpaceDE w:val="0"/>
        <w:autoSpaceDN w:val="0"/>
        <w:adjustRightInd w:val="0"/>
        <w:jc w:val="both"/>
        <w:rPr>
          <w:rFonts w:ascii="Century Gothic" w:hAnsi="Century Gothic" w:cs="Arial"/>
          <w:b/>
          <w:bCs/>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2.1 </w:t>
      </w:r>
      <w:r w:rsidRPr="00145DF5">
        <w:rPr>
          <w:rFonts w:ascii="Century Gothic" w:hAnsi="Century Gothic" w:cs="Arial"/>
          <w:sz w:val="28"/>
          <w:szCs w:val="28"/>
        </w:rPr>
        <w:t xml:space="preserve">– </w:t>
      </w:r>
      <w:r w:rsidRPr="00145DF5">
        <w:rPr>
          <w:rFonts w:ascii="Century Gothic" w:hAnsi="Century Gothic"/>
          <w:sz w:val="28"/>
          <w:szCs w:val="28"/>
        </w:rPr>
        <w:t>Por ocasião da fase de credenciamento dos licitantes, deverá ser apresentado o que se segue</w:t>
      </w:r>
      <w:r w:rsidRPr="00145DF5">
        <w:rPr>
          <w:rFonts w:ascii="Century Gothic" w:hAnsi="Century Gothic" w:cs="Arial"/>
          <w:sz w:val="28"/>
          <w:szCs w:val="28"/>
        </w:rPr>
        <w:t>:</w:t>
      </w:r>
    </w:p>
    <w:p w:rsidR="000B15F7" w:rsidRPr="00145DF5" w:rsidRDefault="000B15F7"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2.1.1 </w:t>
      </w:r>
      <w:r w:rsidRPr="00145DF5">
        <w:rPr>
          <w:rFonts w:ascii="Century Gothic" w:hAnsi="Century Gothic" w:cs="Arial"/>
          <w:sz w:val="28"/>
          <w:szCs w:val="28"/>
        </w:rPr>
        <w:t>– Quanto aos representantes:</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a) </w:t>
      </w:r>
      <w:r w:rsidRPr="00145DF5">
        <w:rPr>
          <w:rFonts w:ascii="Century Gothic" w:hAnsi="Century Gothic"/>
          <w:sz w:val="28"/>
          <w:szCs w:val="28"/>
        </w:rPr>
        <w:t xml:space="preserve">Tratando-se de </w:t>
      </w:r>
      <w:r w:rsidRPr="00145DF5">
        <w:rPr>
          <w:rFonts w:ascii="Century Gothic" w:hAnsi="Century Gothic"/>
          <w:b/>
          <w:bCs/>
          <w:sz w:val="28"/>
          <w:szCs w:val="28"/>
        </w:rPr>
        <w:t xml:space="preserve">Representante Legal </w:t>
      </w:r>
      <w:r w:rsidRPr="00145DF5">
        <w:rPr>
          <w:rFonts w:ascii="Century Gothic" w:hAnsi="Century Gothic"/>
          <w:sz w:val="28"/>
          <w:szCs w:val="28"/>
        </w:rPr>
        <w:t>(sócio, proprietário, dirigente ou assemelhado), instrumento constitutivo da empresa registrado na Junta Comercial, ou tratando-se de sociedade simples, o ato constitutivo registrado no Cartório de Registro Civil de Pessoas Jurídicas, no qual estejam expressos seus poderes para exercer direitos e assumir obrigações em decorrência de tal investidura</w:t>
      </w:r>
      <w:r w:rsidRPr="00145DF5">
        <w:rPr>
          <w:rFonts w:ascii="Century Gothic" w:hAnsi="Century Gothic" w:cs="Arial"/>
          <w:sz w:val="28"/>
          <w:szCs w:val="28"/>
        </w:rPr>
        <w:t>;</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b) </w:t>
      </w:r>
      <w:r w:rsidRPr="00145DF5">
        <w:rPr>
          <w:rFonts w:ascii="Century Gothic" w:hAnsi="Century Gothic"/>
          <w:sz w:val="28"/>
          <w:szCs w:val="28"/>
        </w:rPr>
        <w:t xml:space="preserve">Tratando-se de </w:t>
      </w:r>
      <w:r w:rsidRPr="00145DF5">
        <w:rPr>
          <w:rFonts w:ascii="Century Gothic" w:hAnsi="Century Gothic"/>
          <w:b/>
          <w:bCs/>
          <w:sz w:val="28"/>
          <w:szCs w:val="28"/>
        </w:rPr>
        <w:t>Procurador</w:t>
      </w:r>
      <w:r w:rsidRPr="00145DF5">
        <w:rPr>
          <w:rFonts w:ascii="Century Gothic" w:hAnsi="Century Gothic"/>
          <w:sz w:val="28"/>
          <w:szCs w:val="28"/>
        </w:rPr>
        <w:t>, instrumento público de procuração ou instrumento particular do representante legal que o assina, do qual constem poderes específicos para formular ofertas e lances, negociar preço, interpor recursos e desistir de sua interposição, bem como praticar todos os demais atos pertinentes ao certame. No caso de instrumento particular, o procurador deverá apresentar instrumento constitutivo da empresa na forma estipulada no subitem “a”;</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c) </w:t>
      </w:r>
      <w:r w:rsidRPr="00145DF5">
        <w:rPr>
          <w:rFonts w:ascii="Century Gothic" w:hAnsi="Century Gothic" w:cs="Arial"/>
          <w:sz w:val="28"/>
          <w:szCs w:val="28"/>
        </w:rPr>
        <w:t>O representante (legal ou procurador) da empresa interessada deverá identificar-se exibindo documento oficial que contenha foto;</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d) </w:t>
      </w:r>
      <w:r w:rsidRPr="00145DF5">
        <w:rPr>
          <w:rFonts w:ascii="Century Gothic" w:hAnsi="Century Gothic" w:cs="Arial"/>
          <w:sz w:val="28"/>
          <w:szCs w:val="28"/>
        </w:rPr>
        <w:t xml:space="preserve">O licitante que não contar com </w:t>
      </w:r>
      <w:r w:rsidRPr="00145DF5">
        <w:rPr>
          <w:rFonts w:ascii="Century Gothic" w:hAnsi="Century Gothic" w:cs="Arial"/>
          <w:b/>
          <w:bCs/>
          <w:sz w:val="28"/>
          <w:szCs w:val="28"/>
        </w:rPr>
        <w:t xml:space="preserve">representante </w:t>
      </w:r>
      <w:r w:rsidRPr="00145DF5">
        <w:rPr>
          <w:rFonts w:ascii="Century Gothic" w:hAnsi="Century Gothic" w:cs="Arial"/>
          <w:sz w:val="28"/>
          <w:szCs w:val="28"/>
        </w:rPr>
        <w:t>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r w:rsidR="008E6668" w:rsidRPr="00145DF5">
        <w:rPr>
          <w:rFonts w:ascii="Century Gothic" w:hAnsi="Century Gothic" w:cs="Arial"/>
          <w:sz w:val="28"/>
          <w:szCs w:val="28"/>
        </w:rPr>
        <w:t xml:space="preserve"> por item</w:t>
      </w:r>
      <w:r w:rsidRPr="00145DF5">
        <w:rPr>
          <w:rFonts w:ascii="Century Gothic" w:hAnsi="Century Gothic" w:cs="Arial"/>
          <w:sz w:val="28"/>
          <w:szCs w:val="28"/>
        </w:rPr>
        <w:t>;</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e) </w:t>
      </w:r>
      <w:r w:rsidRPr="00145DF5">
        <w:rPr>
          <w:rFonts w:ascii="Century Gothic" w:hAnsi="Century Gothic" w:cs="Arial"/>
          <w:sz w:val="28"/>
          <w:szCs w:val="28"/>
        </w:rPr>
        <w:t>Encerrada a fase de credenciamento pelo Pregoeiro, não serão admitidos credenciamentos de eventuais licitantes retardatários;</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lastRenderedPageBreak/>
        <w:t xml:space="preserve">f) </w:t>
      </w:r>
      <w:r w:rsidRPr="00145DF5">
        <w:rPr>
          <w:rFonts w:ascii="Century Gothic" w:hAnsi="Century Gothic" w:cs="Arial"/>
          <w:sz w:val="28"/>
          <w:szCs w:val="28"/>
        </w:rPr>
        <w:t xml:space="preserve">Será admitido apenas </w:t>
      </w:r>
      <w:r w:rsidRPr="00145DF5">
        <w:rPr>
          <w:rFonts w:ascii="Century Gothic" w:hAnsi="Century Gothic" w:cs="Arial"/>
          <w:b/>
          <w:sz w:val="28"/>
          <w:szCs w:val="28"/>
        </w:rPr>
        <w:t>0</w:t>
      </w:r>
      <w:r w:rsidRPr="00145DF5">
        <w:rPr>
          <w:rFonts w:ascii="Century Gothic" w:hAnsi="Century Gothic" w:cs="Arial"/>
          <w:b/>
          <w:bCs/>
          <w:sz w:val="28"/>
          <w:szCs w:val="28"/>
        </w:rPr>
        <w:t xml:space="preserve">1 </w:t>
      </w:r>
      <w:r w:rsidRPr="00145DF5">
        <w:rPr>
          <w:rFonts w:ascii="Century Gothic" w:hAnsi="Century Gothic" w:cs="Arial"/>
          <w:b/>
          <w:sz w:val="28"/>
          <w:szCs w:val="28"/>
        </w:rPr>
        <w:t xml:space="preserve">(um) </w:t>
      </w:r>
      <w:r w:rsidRPr="00145DF5">
        <w:rPr>
          <w:rFonts w:ascii="Century Gothic" w:hAnsi="Century Gothic" w:cs="Arial"/>
          <w:b/>
          <w:bCs/>
          <w:sz w:val="28"/>
          <w:szCs w:val="28"/>
        </w:rPr>
        <w:t xml:space="preserve">representante </w:t>
      </w:r>
      <w:r w:rsidRPr="00145DF5">
        <w:rPr>
          <w:rFonts w:ascii="Century Gothic" w:hAnsi="Century Gothic" w:cs="Arial"/>
          <w:sz w:val="28"/>
          <w:szCs w:val="28"/>
        </w:rPr>
        <w:t>para cada licitante credenciado, sendo que cada um deles poderá representar apenas um licitante credenciado.</w:t>
      </w:r>
    </w:p>
    <w:p w:rsidR="00576E75" w:rsidRPr="00145DF5" w:rsidRDefault="00576E75"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2.1.2 </w:t>
      </w:r>
      <w:r w:rsidRPr="00145DF5">
        <w:rPr>
          <w:rFonts w:ascii="Century Gothic" w:hAnsi="Century Gothic" w:cs="Arial"/>
          <w:sz w:val="28"/>
          <w:szCs w:val="28"/>
        </w:rPr>
        <w:t>– Quanto ao pleno atendimento aos requisitos de habilitação:</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Declaração de pleno atendimento aos requisitos de habilitação </w:t>
      </w:r>
      <w:r w:rsidRPr="00145DF5">
        <w:rPr>
          <w:rFonts w:ascii="Century Gothic" w:hAnsi="Century Gothic" w:cs="Arial"/>
          <w:sz w:val="28"/>
          <w:szCs w:val="28"/>
        </w:rPr>
        <w:t xml:space="preserve">e inexistência de qualquer fato impeditivo à participação, que deverá ser feita de acordo com o modelo estabelecido no </w:t>
      </w:r>
      <w:r w:rsidRPr="00145DF5">
        <w:rPr>
          <w:rFonts w:ascii="Century Gothic" w:hAnsi="Century Gothic" w:cs="Arial"/>
          <w:b/>
          <w:bCs/>
          <w:sz w:val="28"/>
          <w:szCs w:val="28"/>
        </w:rPr>
        <w:t xml:space="preserve">Anexo V </w:t>
      </w:r>
      <w:r w:rsidRPr="00145DF5">
        <w:rPr>
          <w:rFonts w:ascii="Century Gothic" w:hAnsi="Century Gothic" w:cs="Arial"/>
          <w:sz w:val="28"/>
          <w:szCs w:val="28"/>
        </w:rPr>
        <w:t xml:space="preserve">deste Edital, e apresentada </w:t>
      </w:r>
      <w:r w:rsidRPr="00145DF5">
        <w:rPr>
          <w:rFonts w:ascii="Century Gothic" w:hAnsi="Century Gothic" w:cs="Arial"/>
          <w:b/>
          <w:bCs/>
          <w:sz w:val="28"/>
          <w:szCs w:val="28"/>
        </w:rPr>
        <w:t xml:space="preserve">FORA </w:t>
      </w:r>
      <w:r w:rsidRPr="00145DF5">
        <w:rPr>
          <w:rFonts w:ascii="Century Gothic" w:hAnsi="Century Gothic" w:cs="Arial"/>
          <w:sz w:val="28"/>
          <w:szCs w:val="28"/>
        </w:rPr>
        <w:t>dos Envelopes nº 01 (Proposta) e nº 02 (Habilitação).</w:t>
      </w:r>
    </w:p>
    <w:p w:rsidR="001E511D" w:rsidRPr="00145DF5" w:rsidRDefault="001E511D"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2.1.3 </w:t>
      </w:r>
      <w:r w:rsidRPr="00145DF5">
        <w:rPr>
          <w:rFonts w:ascii="Century Gothic" w:hAnsi="Century Gothic" w:cs="Arial"/>
          <w:sz w:val="28"/>
          <w:szCs w:val="28"/>
        </w:rPr>
        <w:t xml:space="preserve">– Quanto às microempresas e empresas de pequeno porte: </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Declaração de microempresa ou empresa de pequeno porte </w:t>
      </w:r>
      <w:r w:rsidRPr="00145DF5">
        <w:rPr>
          <w:rFonts w:ascii="Century Gothic" w:hAnsi="Century Gothic" w:cs="Arial"/>
          <w:sz w:val="28"/>
          <w:szCs w:val="28"/>
        </w:rPr>
        <w:t xml:space="preserve">visando ao exercício dos direitos previstos nos artigos 42 a 45 da Lei Complementar nº 123/06, que deverá ser feita de acordo com o modelo estabelecido no </w:t>
      </w:r>
      <w:r w:rsidRPr="00145DF5">
        <w:rPr>
          <w:rFonts w:ascii="Century Gothic" w:hAnsi="Century Gothic" w:cs="Arial"/>
          <w:b/>
          <w:bCs/>
          <w:sz w:val="28"/>
          <w:szCs w:val="28"/>
        </w:rPr>
        <w:t xml:space="preserve">Anexo VI </w:t>
      </w:r>
      <w:r w:rsidRPr="00145DF5">
        <w:rPr>
          <w:rFonts w:ascii="Century Gothic" w:hAnsi="Century Gothic" w:cs="Arial"/>
          <w:sz w:val="28"/>
          <w:szCs w:val="28"/>
        </w:rPr>
        <w:t xml:space="preserve">deste Edital, e apresentada </w:t>
      </w:r>
      <w:r w:rsidRPr="00145DF5">
        <w:rPr>
          <w:rFonts w:ascii="Century Gothic" w:hAnsi="Century Gothic" w:cs="Arial"/>
          <w:b/>
          <w:bCs/>
          <w:sz w:val="28"/>
          <w:szCs w:val="28"/>
        </w:rPr>
        <w:t xml:space="preserve">FORA </w:t>
      </w:r>
      <w:r w:rsidRPr="00145DF5">
        <w:rPr>
          <w:rFonts w:ascii="Century Gothic" w:hAnsi="Century Gothic" w:cs="Arial"/>
          <w:sz w:val="28"/>
          <w:szCs w:val="28"/>
        </w:rPr>
        <w:t>dos Envelopes nº 01 (Proposta) e nº 02 (Habilitação).</w:t>
      </w:r>
    </w:p>
    <w:p w:rsidR="00C75201" w:rsidRPr="00145DF5" w:rsidRDefault="00C75201"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b/>
          <w:bCs/>
          <w:sz w:val="28"/>
          <w:szCs w:val="28"/>
        </w:rPr>
      </w:pPr>
      <w:r w:rsidRPr="00145DF5">
        <w:rPr>
          <w:rFonts w:ascii="Century Gothic" w:hAnsi="Century Gothic" w:cs="Arial"/>
          <w:b/>
          <w:bCs/>
          <w:sz w:val="28"/>
          <w:szCs w:val="28"/>
        </w:rPr>
        <w:t>3 – FORMA DE APRESENTAÇÃO DA PROPOSTA E DOS DOCUMENTOS DE HABILITAÇÃO</w:t>
      </w:r>
    </w:p>
    <w:p w:rsidR="009A5808" w:rsidRPr="00145DF5" w:rsidRDefault="009A5808" w:rsidP="00BE70D4">
      <w:pPr>
        <w:autoSpaceDE w:val="0"/>
        <w:autoSpaceDN w:val="0"/>
        <w:adjustRightInd w:val="0"/>
        <w:jc w:val="both"/>
        <w:rPr>
          <w:rFonts w:ascii="Century Gothic" w:hAnsi="Century Gothic" w:cs="Arial"/>
          <w:b/>
          <w:bCs/>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sz w:val="28"/>
          <w:szCs w:val="28"/>
        </w:rPr>
        <w:t>A Proposta e os Documentos de Habilitação deverão ser apresentados separadamente, em dois envelopes fechados e indevassáveis, contendo em sua parte externa os seguintes dizeres:</w:t>
      </w:r>
    </w:p>
    <w:p w:rsidR="009A5808" w:rsidRPr="00145DF5" w:rsidRDefault="009A5808" w:rsidP="00BE70D4">
      <w:pPr>
        <w:autoSpaceDE w:val="0"/>
        <w:autoSpaceDN w:val="0"/>
        <w:adjustRightInd w:val="0"/>
        <w:jc w:val="both"/>
        <w:rPr>
          <w:rFonts w:ascii="Century Gothic" w:hAnsi="Century Gothic" w:cs="Arial"/>
          <w:sz w:val="28"/>
          <w:szCs w:val="28"/>
        </w:rPr>
      </w:pPr>
    </w:p>
    <w:tbl>
      <w:tblPr>
        <w:tblW w:w="0" w:type="auto"/>
        <w:jc w:val="center"/>
        <w:tblLook w:val="01E0"/>
      </w:tblPr>
      <w:tblGrid>
        <w:gridCol w:w="5286"/>
        <w:gridCol w:w="5287"/>
      </w:tblGrid>
      <w:tr w:rsidR="009A5808" w:rsidRPr="00145DF5" w:rsidTr="009A5808">
        <w:trPr>
          <w:jc w:val="center"/>
        </w:trPr>
        <w:tc>
          <w:tcPr>
            <w:tcW w:w="5286" w:type="dxa"/>
          </w:tcPr>
          <w:p w:rsidR="009A5808" w:rsidRPr="00145DF5" w:rsidRDefault="009A5808" w:rsidP="00BE70D4">
            <w:pPr>
              <w:jc w:val="both"/>
              <w:rPr>
                <w:rFonts w:ascii="Century Gothic" w:hAnsi="Century Gothic"/>
                <w:b/>
                <w:sz w:val="28"/>
                <w:szCs w:val="28"/>
              </w:rPr>
            </w:pPr>
            <w:r w:rsidRPr="00145DF5">
              <w:rPr>
                <w:rFonts w:ascii="Century Gothic" w:hAnsi="Century Gothic"/>
                <w:b/>
                <w:sz w:val="28"/>
                <w:szCs w:val="28"/>
              </w:rPr>
              <w:t>DENOMINAÇÃO:</w:t>
            </w:r>
          </w:p>
          <w:p w:rsidR="009A5808" w:rsidRPr="00145DF5" w:rsidRDefault="009A5808" w:rsidP="00BE70D4">
            <w:pPr>
              <w:jc w:val="both"/>
              <w:rPr>
                <w:rFonts w:ascii="Century Gothic" w:hAnsi="Century Gothic"/>
                <w:b/>
                <w:bCs/>
                <w:sz w:val="28"/>
                <w:szCs w:val="28"/>
              </w:rPr>
            </w:pPr>
            <w:r w:rsidRPr="00145DF5">
              <w:rPr>
                <w:rFonts w:ascii="Century Gothic" w:hAnsi="Century Gothic"/>
                <w:b/>
                <w:bCs/>
                <w:sz w:val="28"/>
                <w:szCs w:val="28"/>
              </w:rPr>
              <w:t>ENVELOPE Nº 01 – PROPOSTA</w:t>
            </w:r>
          </w:p>
          <w:p w:rsidR="009A5808" w:rsidRPr="00145DF5" w:rsidRDefault="00480340" w:rsidP="00BE70D4">
            <w:pPr>
              <w:jc w:val="both"/>
              <w:rPr>
                <w:rFonts w:ascii="Century Gothic" w:hAnsi="Century Gothic"/>
                <w:b/>
                <w:sz w:val="28"/>
                <w:szCs w:val="28"/>
              </w:rPr>
            </w:pPr>
            <w:r w:rsidRPr="00145DF5">
              <w:rPr>
                <w:rFonts w:ascii="Century Gothic" w:hAnsi="Century Gothic" w:cs="Arial"/>
                <w:b/>
                <w:sz w:val="28"/>
                <w:szCs w:val="28"/>
              </w:rPr>
              <w:t xml:space="preserve">PREGÃO PRESENCIAL Nº </w:t>
            </w:r>
            <w:r w:rsidR="00ED459C" w:rsidRPr="00145DF5">
              <w:rPr>
                <w:rFonts w:ascii="Century Gothic" w:hAnsi="Century Gothic" w:cs="Arial"/>
                <w:b/>
                <w:sz w:val="28"/>
                <w:szCs w:val="28"/>
              </w:rPr>
              <w:t>00</w:t>
            </w:r>
            <w:r w:rsidR="008476C5">
              <w:rPr>
                <w:rFonts w:ascii="Century Gothic" w:hAnsi="Century Gothic" w:cs="Arial"/>
                <w:b/>
                <w:sz w:val="28"/>
                <w:szCs w:val="28"/>
              </w:rPr>
              <w:t>6</w:t>
            </w:r>
            <w:r w:rsidR="00ED459C" w:rsidRPr="00145DF5">
              <w:rPr>
                <w:rFonts w:ascii="Century Gothic" w:hAnsi="Century Gothic" w:cs="Arial"/>
                <w:b/>
                <w:sz w:val="28"/>
                <w:szCs w:val="28"/>
              </w:rPr>
              <w:t>/2017</w:t>
            </w:r>
          </w:p>
          <w:p w:rsidR="009A5808" w:rsidRPr="00145DF5" w:rsidRDefault="00D47C05" w:rsidP="008476C5">
            <w:pPr>
              <w:jc w:val="both"/>
              <w:rPr>
                <w:rFonts w:ascii="Century Gothic" w:hAnsi="Century Gothic"/>
                <w:b/>
                <w:sz w:val="28"/>
                <w:szCs w:val="28"/>
              </w:rPr>
            </w:pPr>
            <w:r w:rsidRPr="00145DF5">
              <w:rPr>
                <w:rFonts w:ascii="Century Gothic" w:hAnsi="Century Gothic"/>
                <w:b/>
                <w:sz w:val="28"/>
                <w:szCs w:val="28"/>
              </w:rPr>
              <w:t xml:space="preserve">PROCESSO Nº </w:t>
            </w:r>
            <w:r w:rsidR="00ED459C" w:rsidRPr="00145DF5">
              <w:rPr>
                <w:rFonts w:ascii="Century Gothic" w:hAnsi="Century Gothic"/>
                <w:b/>
                <w:sz w:val="28"/>
                <w:szCs w:val="28"/>
              </w:rPr>
              <w:t>0</w:t>
            </w:r>
            <w:r w:rsidR="008476C5">
              <w:rPr>
                <w:rFonts w:ascii="Century Gothic" w:hAnsi="Century Gothic"/>
                <w:b/>
                <w:sz w:val="28"/>
                <w:szCs w:val="28"/>
              </w:rPr>
              <w:t>11</w:t>
            </w:r>
            <w:r w:rsidR="00ED459C" w:rsidRPr="00145DF5">
              <w:rPr>
                <w:rFonts w:ascii="Century Gothic" w:hAnsi="Century Gothic"/>
                <w:b/>
                <w:sz w:val="28"/>
                <w:szCs w:val="28"/>
              </w:rPr>
              <w:t>/2017</w:t>
            </w:r>
          </w:p>
        </w:tc>
        <w:tc>
          <w:tcPr>
            <w:tcW w:w="5287" w:type="dxa"/>
          </w:tcPr>
          <w:p w:rsidR="009A5808" w:rsidRPr="00145DF5" w:rsidRDefault="009A5808" w:rsidP="00BE70D4">
            <w:pPr>
              <w:jc w:val="both"/>
              <w:rPr>
                <w:rFonts w:ascii="Century Gothic" w:hAnsi="Century Gothic"/>
                <w:b/>
                <w:sz w:val="28"/>
                <w:szCs w:val="28"/>
              </w:rPr>
            </w:pPr>
            <w:r w:rsidRPr="00145DF5">
              <w:rPr>
                <w:rFonts w:ascii="Century Gothic" w:hAnsi="Century Gothic"/>
                <w:b/>
                <w:sz w:val="28"/>
                <w:szCs w:val="28"/>
              </w:rPr>
              <w:t>DENOMINAÇÃO:</w:t>
            </w:r>
          </w:p>
          <w:p w:rsidR="009A5808" w:rsidRPr="00145DF5" w:rsidRDefault="009A5808" w:rsidP="00BE70D4">
            <w:pPr>
              <w:jc w:val="both"/>
              <w:rPr>
                <w:rFonts w:ascii="Century Gothic" w:hAnsi="Century Gothic"/>
                <w:b/>
                <w:bCs/>
                <w:sz w:val="28"/>
                <w:szCs w:val="28"/>
              </w:rPr>
            </w:pPr>
            <w:r w:rsidRPr="00145DF5">
              <w:rPr>
                <w:rFonts w:ascii="Century Gothic" w:hAnsi="Century Gothic"/>
                <w:b/>
                <w:bCs/>
                <w:sz w:val="28"/>
                <w:szCs w:val="28"/>
              </w:rPr>
              <w:t>ENVELOPE Nº 02 – HABILITAÇÃO</w:t>
            </w:r>
          </w:p>
          <w:p w:rsidR="00D93875" w:rsidRPr="00145DF5" w:rsidRDefault="00AE4835" w:rsidP="00BE70D4">
            <w:pPr>
              <w:jc w:val="both"/>
              <w:rPr>
                <w:rFonts w:ascii="Century Gothic" w:hAnsi="Century Gothic" w:cs="Arial"/>
                <w:b/>
                <w:sz w:val="28"/>
                <w:szCs w:val="28"/>
              </w:rPr>
            </w:pPr>
            <w:r w:rsidRPr="00145DF5">
              <w:rPr>
                <w:rFonts w:ascii="Century Gothic" w:hAnsi="Century Gothic" w:cs="Arial"/>
                <w:b/>
                <w:sz w:val="28"/>
                <w:szCs w:val="28"/>
              </w:rPr>
              <w:t xml:space="preserve">PREGÃO PRESENCIAL Nº </w:t>
            </w:r>
            <w:r w:rsidR="00ED459C" w:rsidRPr="00145DF5">
              <w:rPr>
                <w:rFonts w:ascii="Century Gothic" w:hAnsi="Century Gothic" w:cs="Arial"/>
                <w:b/>
                <w:sz w:val="28"/>
                <w:szCs w:val="28"/>
              </w:rPr>
              <w:t>00</w:t>
            </w:r>
            <w:r w:rsidR="008476C5">
              <w:rPr>
                <w:rFonts w:ascii="Century Gothic" w:hAnsi="Century Gothic" w:cs="Arial"/>
                <w:b/>
                <w:sz w:val="28"/>
                <w:szCs w:val="28"/>
              </w:rPr>
              <w:t>6</w:t>
            </w:r>
            <w:r w:rsidR="00ED459C" w:rsidRPr="00145DF5">
              <w:rPr>
                <w:rFonts w:ascii="Century Gothic" w:hAnsi="Century Gothic" w:cs="Arial"/>
                <w:b/>
                <w:sz w:val="28"/>
                <w:szCs w:val="28"/>
              </w:rPr>
              <w:t>/2017</w:t>
            </w:r>
          </w:p>
          <w:p w:rsidR="009A5808" w:rsidRPr="00145DF5" w:rsidRDefault="009A5808" w:rsidP="008476C5">
            <w:pPr>
              <w:jc w:val="both"/>
              <w:rPr>
                <w:rFonts w:ascii="Century Gothic" w:hAnsi="Century Gothic"/>
                <w:b/>
                <w:sz w:val="28"/>
                <w:szCs w:val="28"/>
              </w:rPr>
            </w:pPr>
            <w:r w:rsidRPr="00145DF5">
              <w:rPr>
                <w:rFonts w:ascii="Century Gothic" w:hAnsi="Century Gothic"/>
                <w:b/>
                <w:sz w:val="28"/>
                <w:szCs w:val="28"/>
              </w:rPr>
              <w:t>P</w:t>
            </w:r>
            <w:r w:rsidR="00D47C05" w:rsidRPr="00145DF5">
              <w:rPr>
                <w:rFonts w:ascii="Century Gothic" w:hAnsi="Century Gothic"/>
                <w:b/>
                <w:sz w:val="28"/>
                <w:szCs w:val="28"/>
              </w:rPr>
              <w:t xml:space="preserve">ROCESSO Nº </w:t>
            </w:r>
            <w:r w:rsidR="00ED459C" w:rsidRPr="00145DF5">
              <w:rPr>
                <w:rFonts w:ascii="Century Gothic" w:hAnsi="Century Gothic"/>
                <w:b/>
                <w:sz w:val="28"/>
                <w:szCs w:val="28"/>
              </w:rPr>
              <w:t>0</w:t>
            </w:r>
            <w:r w:rsidR="008476C5">
              <w:rPr>
                <w:rFonts w:ascii="Century Gothic" w:hAnsi="Century Gothic"/>
                <w:b/>
                <w:sz w:val="28"/>
                <w:szCs w:val="28"/>
              </w:rPr>
              <w:t>1</w:t>
            </w:r>
            <w:r w:rsidR="00ED459C" w:rsidRPr="00145DF5">
              <w:rPr>
                <w:rFonts w:ascii="Century Gothic" w:hAnsi="Century Gothic"/>
                <w:b/>
                <w:sz w:val="28"/>
                <w:szCs w:val="28"/>
              </w:rPr>
              <w:t>1/2017</w:t>
            </w:r>
          </w:p>
        </w:tc>
      </w:tr>
    </w:tbl>
    <w:p w:rsidR="009A5808" w:rsidRPr="00145DF5" w:rsidRDefault="009A5808" w:rsidP="00BE70D4">
      <w:pPr>
        <w:autoSpaceDE w:val="0"/>
        <w:autoSpaceDN w:val="0"/>
        <w:adjustRightInd w:val="0"/>
        <w:jc w:val="both"/>
        <w:rPr>
          <w:rFonts w:ascii="Century Gothic" w:hAnsi="Century Gothic" w:cs="Arial"/>
          <w:b/>
          <w:bCs/>
          <w:sz w:val="28"/>
          <w:szCs w:val="28"/>
        </w:rPr>
      </w:pPr>
    </w:p>
    <w:p w:rsidR="009A5808" w:rsidRPr="00145DF5" w:rsidRDefault="009A5808" w:rsidP="00BE70D4">
      <w:pPr>
        <w:autoSpaceDE w:val="0"/>
        <w:autoSpaceDN w:val="0"/>
        <w:adjustRightInd w:val="0"/>
        <w:jc w:val="both"/>
        <w:rPr>
          <w:rFonts w:ascii="Century Gothic" w:hAnsi="Century Gothic" w:cs="Arial"/>
          <w:b/>
          <w:bCs/>
          <w:sz w:val="28"/>
          <w:szCs w:val="28"/>
        </w:rPr>
      </w:pPr>
      <w:r w:rsidRPr="00145DF5">
        <w:rPr>
          <w:rFonts w:ascii="Century Gothic" w:hAnsi="Century Gothic" w:cs="Arial"/>
          <w:b/>
          <w:bCs/>
          <w:sz w:val="28"/>
          <w:szCs w:val="28"/>
        </w:rPr>
        <w:t>4 – PROPOSTA</w:t>
      </w:r>
      <w:r w:rsidR="00697877" w:rsidRPr="00145DF5">
        <w:rPr>
          <w:rFonts w:ascii="Century Gothic" w:hAnsi="Century Gothic" w:cs="Arial"/>
          <w:b/>
          <w:bCs/>
          <w:sz w:val="28"/>
          <w:szCs w:val="28"/>
        </w:rPr>
        <w:t xml:space="preserve"> </w:t>
      </w:r>
    </w:p>
    <w:p w:rsidR="009A5808" w:rsidRPr="00145DF5" w:rsidRDefault="009A5808" w:rsidP="00BE70D4">
      <w:pPr>
        <w:autoSpaceDE w:val="0"/>
        <w:autoSpaceDN w:val="0"/>
        <w:adjustRightInd w:val="0"/>
        <w:jc w:val="both"/>
        <w:rPr>
          <w:rFonts w:ascii="Century Gothic" w:hAnsi="Century Gothic" w:cs="Arial"/>
          <w:b/>
          <w:bCs/>
          <w:sz w:val="28"/>
          <w:szCs w:val="28"/>
        </w:rPr>
      </w:pPr>
    </w:p>
    <w:p w:rsidR="009A5808"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4.1 </w:t>
      </w:r>
      <w:r w:rsidRPr="00145DF5">
        <w:rPr>
          <w:rFonts w:ascii="Century Gothic" w:hAnsi="Century Gothic" w:cs="Arial"/>
          <w:sz w:val="28"/>
          <w:szCs w:val="28"/>
        </w:rPr>
        <w:t xml:space="preserve">– O </w:t>
      </w:r>
      <w:r w:rsidRPr="00145DF5">
        <w:rPr>
          <w:rFonts w:ascii="Century Gothic" w:hAnsi="Century Gothic" w:cs="Arial"/>
          <w:b/>
          <w:bCs/>
          <w:sz w:val="28"/>
          <w:szCs w:val="28"/>
        </w:rPr>
        <w:t>Anexo I</w:t>
      </w:r>
      <w:r w:rsidR="001E511D" w:rsidRPr="00145DF5">
        <w:rPr>
          <w:rFonts w:ascii="Century Gothic" w:hAnsi="Century Gothic" w:cs="Arial"/>
          <w:b/>
          <w:bCs/>
          <w:sz w:val="28"/>
          <w:szCs w:val="28"/>
        </w:rPr>
        <w:t>I</w:t>
      </w:r>
      <w:r w:rsidRPr="00145DF5">
        <w:rPr>
          <w:rFonts w:ascii="Century Gothic" w:hAnsi="Century Gothic" w:cs="Arial"/>
          <w:b/>
          <w:bCs/>
          <w:sz w:val="28"/>
          <w:szCs w:val="28"/>
        </w:rPr>
        <w:t xml:space="preserve">I </w:t>
      </w:r>
      <w:r w:rsidRPr="00145DF5">
        <w:rPr>
          <w:rFonts w:ascii="Century Gothic" w:hAnsi="Century Gothic" w:cs="Arial"/>
          <w:sz w:val="28"/>
          <w:szCs w:val="28"/>
        </w:rPr>
        <w:t xml:space="preserve">deverá ser utilizado para a apresentação da </w:t>
      </w:r>
      <w:r w:rsidRPr="00145DF5">
        <w:rPr>
          <w:rFonts w:ascii="Century Gothic" w:hAnsi="Century Gothic" w:cs="Arial"/>
          <w:b/>
          <w:bCs/>
          <w:sz w:val="28"/>
          <w:szCs w:val="28"/>
        </w:rPr>
        <w:t>Proposta</w:t>
      </w:r>
      <w:r w:rsidRPr="00145DF5">
        <w:rPr>
          <w:rFonts w:ascii="Century Gothic" w:hAnsi="Century Gothic" w:cs="Arial"/>
          <w:sz w:val="28"/>
          <w:szCs w:val="28"/>
        </w:rPr>
        <w:t xml:space="preserve">, datilografado, impresso ou preenchido a mão de forma legível, em língua portuguesa, salvo quanto às expressões técnicas de uso corrente, sem </w:t>
      </w:r>
      <w:r w:rsidRPr="00145DF5">
        <w:rPr>
          <w:rFonts w:ascii="Century Gothic" w:hAnsi="Century Gothic" w:cs="Arial"/>
          <w:sz w:val="28"/>
          <w:szCs w:val="28"/>
        </w:rPr>
        <w:lastRenderedPageBreak/>
        <w:t xml:space="preserve">rasuras, emendas, borrões ou entrelinhas, sem ofertas alternativas, datado e assinado pelo representante legal </w:t>
      </w:r>
      <w:r w:rsidR="0042553B">
        <w:rPr>
          <w:rFonts w:ascii="Century Gothic" w:hAnsi="Century Gothic" w:cs="Arial"/>
          <w:sz w:val="28"/>
          <w:szCs w:val="28"/>
        </w:rPr>
        <w:t>do licitante ou pelo procurador;</w:t>
      </w:r>
    </w:p>
    <w:p w:rsidR="0042553B" w:rsidRDefault="0042553B"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sz w:val="28"/>
          <w:szCs w:val="28"/>
        </w:rPr>
      </w:pPr>
      <w:r w:rsidRPr="00145DF5">
        <w:rPr>
          <w:rFonts w:ascii="Century Gothic" w:hAnsi="Century Gothic"/>
          <w:b/>
          <w:sz w:val="28"/>
          <w:szCs w:val="28"/>
        </w:rPr>
        <w:t xml:space="preserve">4.2 </w:t>
      </w:r>
      <w:r w:rsidRPr="00145DF5">
        <w:rPr>
          <w:rFonts w:ascii="Century Gothic" w:hAnsi="Century Gothic"/>
          <w:sz w:val="28"/>
          <w:szCs w:val="28"/>
        </w:rPr>
        <w:t>– Não serão admitidas, posteriormente, alegações de enganos, erros ou distrações na apresentação das propostas comerciais, como justificativas de quaisquer acréscimos ou solicitações de reembolsos e indenizações de qualquer natureza.</w:t>
      </w:r>
    </w:p>
    <w:p w:rsidR="00B676E0" w:rsidRPr="00145DF5" w:rsidRDefault="00B676E0"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4.</w:t>
      </w:r>
      <w:r w:rsidR="001E511D" w:rsidRPr="00145DF5">
        <w:rPr>
          <w:rFonts w:ascii="Century Gothic" w:hAnsi="Century Gothic" w:cs="Arial"/>
          <w:b/>
          <w:bCs/>
          <w:sz w:val="28"/>
          <w:szCs w:val="28"/>
        </w:rPr>
        <w:t>3</w:t>
      </w:r>
      <w:r w:rsidRPr="00145DF5">
        <w:rPr>
          <w:rFonts w:ascii="Century Gothic" w:hAnsi="Century Gothic" w:cs="Arial"/>
          <w:b/>
          <w:bCs/>
          <w:sz w:val="28"/>
          <w:szCs w:val="28"/>
        </w:rPr>
        <w:t xml:space="preserve"> </w:t>
      </w:r>
      <w:r w:rsidRPr="00145DF5">
        <w:rPr>
          <w:rFonts w:ascii="Century Gothic" w:hAnsi="Century Gothic" w:cs="Arial"/>
          <w:sz w:val="28"/>
          <w:szCs w:val="28"/>
        </w:rPr>
        <w:t>– Deverão estar consignados na proposta:</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1E511D"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4.3</w:t>
      </w:r>
      <w:r w:rsidR="009A5808" w:rsidRPr="00145DF5">
        <w:rPr>
          <w:rFonts w:ascii="Century Gothic" w:hAnsi="Century Gothic" w:cs="Arial"/>
          <w:b/>
          <w:bCs/>
          <w:sz w:val="28"/>
          <w:szCs w:val="28"/>
        </w:rPr>
        <w:t xml:space="preserve">.1 </w:t>
      </w:r>
      <w:r w:rsidR="009A5808" w:rsidRPr="00145DF5">
        <w:rPr>
          <w:rFonts w:ascii="Century Gothic" w:hAnsi="Century Gothic" w:cs="Arial"/>
          <w:sz w:val="28"/>
          <w:szCs w:val="28"/>
        </w:rPr>
        <w:t>– A denominação, endereço/CEP, telefone/fax, e-mail e CNPJ do licitante;</w:t>
      </w:r>
    </w:p>
    <w:p w:rsidR="001E511D" w:rsidRPr="00145DF5" w:rsidRDefault="001E511D" w:rsidP="00BE70D4">
      <w:pPr>
        <w:autoSpaceDE w:val="0"/>
        <w:autoSpaceDN w:val="0"/>
        <w:adjustRightInd w:val="0"/>
        <w:jc w:val="both"/>
        <w:rPr>
          <w:rFonts w:ascii="Century Gothic" w:hAnsi="Century Gothic" w:cs="Arial"/>
          <w:sz w:val="28"/>
          <w:szCs w:val="28"/>
        </w:rPr>
      </w:pPr>
    </w:p>
    <w:p w:rsidR="009A5808" w:rsidRPr="00145DF5" w:rsidRDefault="001E511D"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4.3</w:t>
      </w:r>
      <w:r w:rsidR="009A5808" w:rsidRPr="00145DF5">
        <w:rPr>
          <w:rFonts w:ascii="Century Gothic" w:hAnsi="Century Gothic" w:cs="Arial"/>
          <w:b/>
          <w:bCs/>
          <w:sz w:val="28"/>
          <w:szCs w:val="28"/>
        </w:rPr>
        <w:t xml:space="preserve">.2 </w:t>
      </w:r>
      <w:r w:rsidR="009A5808" w:rsidRPr="00145DF5">
        <w:rPr>
          <w:rFonts w:ascii="Century Gothic" w:hAnsi="Century Gothic" w:cs="Arial"/>
          <w:sz w:val="28"/>
          <w:szCs w:val="28"/>
        </w:rPr>
        <w:t xml:space="preserve">– </w:t>
      </w:r>
      <w:r w:rsidRPr="00145DF5">
        <w:rPr>
          <w:rFonts w:ascii="Century Gothic" w:hAnsi="Century Gothic"/>
          <w:sz w:val="28"/>
          <w:szCs w:val="28"/>
        </w:rPr>
        <w:t>Valor unitário do item em algarismos, expressos em moeda corrente nacional, apurados à data de sua apresentação, sem inclusão de qualquer encargo financeiro ou previsão inflacionária, incluindo, além do lucro, todas as despesas resultantes de impostos, taxas, tributos, frete e demais encargos, assim como todas as despesas diretas ou indiretas relacionadas com o integral fornecimento do objeto da presente licitação</w:t>
      </w:r>
      <w:r w:rsidR="009A5808" w:rsidRPr="00145DF5">
        <w:rPr>
          <w:rFonts w:ascii="Century Gothic" w:hAnsi="Century Gothic" w:cs="Arial"/>
          <w:sz w:val="28"/>
          <w:szCs w:val="28"/>
        </w:rPr>
        <w:t>;</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a) </w:t>
      </w:r>
      <w:r w:rsidR="00D329EE" w:rsidRPr="00145DF5">
        <w:rPr>
          <w:rFonts w:ascii="Century Gothic" w:hAnsi="Century Gothic"/>
          <w:sz w:val="28"/>
          <w:szCs w:val="28"/>
        </w:rPr>
        <w:t>O preço ofertado é fixo e irreajustável e deverá ser apresentado com precisão de duas casas decimais</w:t>
      </w:r>
      <w:r w:rsidRPr="00145DF5">
        <w:rPr>
          <w:rFonts w:ascii="Century Gothic" w:hAnsi="Century Gothic" w:cs="Arial"/>
          <w:sz w:val="28"/>
          <w:szCs w:val="28"/>
        </w:rPr>
        <w:t>;</w:t>
      </w: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sz w:val="28"/>
          <w:szCs w:val="28"/>
        </w:rPr>
        <w:t xml:space="preserve"> </w:t>
      </w: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b) </w:t>
      </w:r>
      <w:r w:rsidRPr="00145DF5">
        <w:rPr>
          <w:rFonts w:ascii="Century Gothic" w:hAnsi="Century Gothic" w:cs="Arial"/>
          <w:sz w:val="28"/>
          <w:szCs w:val="28"/>
        </w:rPr>
        <w:t>Para os licitantes que fizerem lances será considerado o último valor ofertado.</w:t>
      </w:r>
    </w:p>
    <w:p w:rsidR="00576E75" w:rsidRPr="00145DF5" w:rsidRDefault="00576E75" w:rsidP="00BE70D4">
      <w:pPr>
        <w:autoSpaceDE w:val="0"/>
        <w:autoSpaceDN w:val="0"/>
        <w:adjustRightInd w:val="0"/>
        <w:jc w:val="both"/>
        <w:rPr>
          <w:rFonts w:ascii="Century Gothic" w:hAnsi="Century Gothic" w:cs="Arial"/>
          <w:sz w:val="28"/>
          <w:szCs w:val="28"/>
        </w:rPr>
      </w:pPr>
    </w:p>
    <w:p w:rsidR="00E20CF0" w:rsidRPr="00145DF5" w:rsidRDefault="001E511D"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4.3</w:t>
      </w:r>
      <w:r w:rsidR="00E20CF0" w:rsidRPr="00145DF5">
        <w:rPr>
          <w:rFonts w:ascii="Century Gothic" w:hAnsi="Century Gothic" w:cs="Arial"/>
          <w:b/>
          <w:bCs/>
          <w:sz w:val="28"/>
          <w:szCs w:val="28"/>
        </w:rPr>
        <w:t xml:space="preserve">.3 </w:t>
      </w:r>
      <w:r w:rsidR="00E20CF0" w:rsidRPr="00145DF5">
        <w:rPr>
          <w:rFonts w:ascii="Century Gothic" w:hAnsi="Century Gothic" w:cs="Arial"/>
          <w:sz w:val="28"/>
          <w:szCs w:val="28"/>
        </w:rPr>
        <w:t xml:space="preserve">– </w:t>
      </w:r>
      <w:r w:rsidR="00E20CF0" w:rsidRPr="00145DF5">
        <w:rPr>
          <w:rFonts w:ascii="Century Gothic" w:hAnsi="Century Gothic"/>
          <w:sz w:val="28"/>
          <w:szCs w:val="28"/>
        </w:rPr>
        <w:t>Marca do</w:t>
      </w:r>
      <w:r w:rsidR="008E6668" w:rsidRPr="00145DF5">
        <w:rPr>
          <w:rFonts w:ascii="Century Gothic" w:hAnsi="Century Gothic"/>
          <w:sz w:val="28"/>
          <w:szCs w:val="28"/>
        </w:rPr>
        <w:t>s</w:t>
      </w:r>
      <w:r w:rsidR="00E20CF0" w:rsidRPr="00145DF5">
        <w:rPr>
          <w:rFonts w:ascii="Century Gothic" w:hAnsi="Century Gothic"/>
          <w:sz w:val="28"/>
          <w:szCs w:val="28"/>
        </w:rPr>
        <w:t xml:space="preserve"> </w:t>
      </w:r>
      <w:r w:rsidR="00C60AED">
        <w:rPr>
          <w:rFonts w:ascii="Century Gothic" w:hAnsi="Century Gothic"/>
          <w:sz w:val="28"/>
          <w:szCs w:val="28"/>
        </w:rPr>
        <w:t>materiais</w:t>
      </w:r>
      <w:r w:rsidR="00616651" w:rsidRPr="00145DF5">
        <w:rPr>
          <w:rFonts w:ascii="Century Gothic" w:hAnsi="Century Gothic"/>
          <w:sz w:val="28"/>
          <w:szCs w:val="28"/>
        </w:rPr>
        <w:t xml:space="preserve"> </w:t>
      </w:r>
      <w:r w:rsidR="00E20CF0" w:rsidRPr="00145DF5">
        <w:rPr>
          <w:rFonts w:ascii="Century Gothic" w:hAnsi="Century Gothic"/>
          <w:sz w:val="28"/>
          <w:szCs w:val="28"/>
        </w:rPr>
        <w:t>cotado</w:t>
      </w:r>
      <w:r w:rsidR="008E6668" w:rsidRPr="00145DF5">
        <w:rPr>
          <w:rFonts w:ascii="Century Gothic" w:hAnsi="Century Gothic"/>
          <w:sz w:val="28"/>
          <w:szCs w:val="28"/>
        </w:rPr>
        <w:t>s</w:t>
      </w:r>
      <w:r w:rsidR="00E20CF0" w:rsidRPr="00145DF5">
        <w:rPr>
          <w:rFonts w:ascii="Century Gothic" w:hAnsi="Century Gothic" w:cs="Arial"/>
          <w:sz w:val="28"/>
          <w:szCs w:val="28"/>
        </w:rPr>
        <w:t>;</w:t>
      </w:r>
    </w:p>
    <w:p w:rsidR="00E20CF0" w:rsidRPr="00145DF5" w:rsidRDefault="00E20CF0" w:rsidP="00BE70D4">
      <w:pPr>
        <w:autoSpaceDE w:val="0"/>
        <w:autoSpaceDN w:val="0"/>
        <w:adjustRightInd w:val="0"/>
        <w:jc w:val="both"/>
        <w:rPr>
          <w:rFonts w:ascii="Century Gothic" w:hAnsi="Century Gothic" w:cs="Arial"/>
          <w:sz w:val="28"/>
          <w:szCs w:val="28"/>
        </w:rPr>
      </w:pPr>
    </w:p>
    <w:p w:rsidR="00E20CF0" w:rsidRPr="00145DF5" w:rsidRDefault="001E511D" w:rsidP="00BE70D4">
      <w:pPr>
        <w:autoSpaceDE w:val="0"/>
        <w:autoSpaceDN w:val="0"/>
        <w:adjustRightInd w:val="0"/>
        <w:jc w:val="both"/>
        <w:rPr>
          <w:rFonts w:ascii="Century Gothic" w:hAnsi="Century Gothic"/>
          <w:b/>
          <w:bCs/>
          <w:sz w:val="28"/>
          <w:szCs w:val="28"/>
        </w:rPr>
      </w:pPr>
      <w:r w:rsidRPr="00145DF5">
        <w:rPr>
          <w:rFonts w:ascii="Century Gothic" w:hAnsi="Century Gothic" w:cs="Arial"/>
          <w:b/>
          <w:bCs/>
          <w:sz w:val="28"/>
          <w:szCs w:val="28"/>
        </w:rPr>
        <w:t>4.3</w:t>
      </w:r>
      <w:r w:rsidR="00E20CF0" w:rsidRPr="00145DF5">
        <w:rPr>
          <w:rFonts w:ascii="Century Gothic" w:hAnsi="Century Gothic" w:cs="Arial"/>
          <w:b/>
          <w:bCs/>
          <w:sz w:val="28"/>
          <w:szCs w:val="28"/>
        </w:rPr>
        <w:t>.</w:t>
      </w:r>
      <w:r w:rsidRPr="00145DF5">
        <w:rPr>
          <w:rFonts w:ascii="Century Gothic" w:hAnsi="Century Gothic" w:cs="Arial"/>
          <w:b/>
          <w:bCs/>
          <w:sz w:val="28"/>
          <w:szCs w:val="28"/>
        </w:rPr>
        <w:t>4</w:t>
      </w:r>
      <w:r w:rsidR="00E20CF0" w:rsidRPr="00145DF5">
        <w:rPr>
          <w:rFonts w:ascii="Century Gothic" w:hAnsi="Century Gothic" w:cs="Arial"/>
          <w:b/>
          <w:bCs/>
          <w:sz w:val="28"/>
          <w:szCs w:val="28"/>
        </w:rPr>
        <w:t xml:space="preserve"> </w:t>
      </w:r>
      <w:r w:rsidR="00E20CF0" w:rsidRPr="00145DF5">
        <w:rPr>
          <w:rFonts w:ascii="Century Gothic" w:hAnsi="Century Gothic" w:cs="Arial"/>
          <w:sz w:val="28"/>
          <w:szCs w:val="28"/>
        </w:rPr>
        <w:t xml:space="preserve">– </w:t>
      </w:r>
      <w:r w:rsidRPr="00145DF5">
        <w:rPr>
          <w:rFonts w:ascii="Century Gothic" w:hAnsi="Century Gothic"/>
          <w:sz w:val="28"/>
          <w:szCs w:val="28"/>
        </w:rPr>
        <w:t xml:space="preserve">Prazo de entrega dos </w:t>
      </w:r>
      <w:r w:rsidR="00C60AED">
        <w:rPr>
          <w:rFonts w:ascii="Century Gothic" w:hAnsi="Century Gothic"/>
          <w:sz w:val="28"/>
          <w:szCs w:val="28"/>
        </w:rPr>
        <w:t>materiais</w:t>
      </w:r>
      <w:r w:rsidRPr="00145DF5">
        <w:rPr>
          <w:rFonts w:ascii="Century Gothic" w:hAnsi="Century Gothic"/>
          <w:sz w:val="28"/>
          <w:szCs w:val="28"/>
        </w:rPr>
        <w:t xml:space="preserve"> que não poderá ser superior a </w:t>
      </w:r>
      <w:r w:rsidR="00145DF5">
        <w:rPr>
          <w:rFonts w:ascii="Century Gothic" w:hAnsi="Century Gothic"/>
          <w:b/>
          <w:bCs/>
          <w:sz w:val="28"/>
          <w:szCs w:val="28"/>
        </w:rPr>
        <w:t>05</w:t>
      </w:r>
      <w:r w:rsidR="00F87F7D" w:rsidRPr="00145DF5">
        <w:rPr>
          <w:rFonts w:ascii="Century Gothic" w:hAnsi="Century Gothic"/>
          <w:b/>
          <w:bCs/>
          <w:sz w:val="28"/>
          <w:szCs w:val="28"/>
        </w:rPr>
        <w:t xml:space="preserve"> </w:t>
      </w:r>
      <w:r w:rsidRPr="00145DF5">
        <w:rPr>
          <w:rFonts w:ascii="Century Gothic" w:hAnsi="Century Gothic"/>
          <w:sz w:val="28"/>
          <w:szCs w:val="28"/>
        </w:rPr>
        <w:t>(</w:t>
      </w:r>
      <w:r w:rsidR="00145DF5">
        <w:rPr>
          <w:rFonts w:ascii="Century Gothic" w:hAnsi="Century Gothic"/>
          <w:sz w:val="28"/>
          <w:szCs w:val="28"/>
        </w:rPr>
        <w:t>cinco</w:t>
      </w:r>
      <w:r w:rsidRPr="00145DF5">
        <w:rPr>
          <w:rFonts w:ascii="Century Gothic" w:hAnsi="Century Gothic"/>
          <w:sz w:val="28"/>
          <w:szCs w:val="28"/>
        </w:rPr>
        <w:t xml:space="preserve">) </w:t>
      </w:r>
      <w:r w:rsidRPr="00145DF5">
        <w:rPr>
          <w:rFonts w:ascii="Century Gothic" w:hAnsi="Century Gothic"/>
          <w:b/>
          <w:bCs/>
          <w:sz w:val="28"/>
          <w:szCs w:val="28"/>
        </w:rPr>
        <w:t>dias corridos</w:t>
      </w:r>
      <w:r w:rsidR="00E767D2" w:rsidRPr="00145DF5">
        <w:rPr>
          <w:rFonts w:ascii="Century Gothic" w:hAnsi="Century Gothic"/>
          <w:bCs/>
          <w:sz w:val="28"/>
          <w:szCs w:val="28"/>
        </w:rPr>
        <w:t xml:space="preserve">, </w:t>
      </w:r>
      <w:r w:rsidRPr="00145DF5">
        <w:rPr>
          <w:rFonts w:ascii="Century Gothic" w:hAnsi="Century Gothic"/>
          <w:sz w:val="28"/>
          <w:szCs w:val="28"/>
        </w:rPr>
        <w:t xml:space="preserve">contados do recebimento pela empresa adjudicatária da </w:t>
      </w:r>
      <w:r w:rsidRPr="00145DF5">
        <w:rPr>
          <w:rFonts w:ascii="Century Gothic" w:hAnsi="Century Gothic"/>
          <w:b/>
          <w:bCs/>
          <w:sz w:val="28"/>
          <w:szCs w:val="28"/>
        </w:rPr>
        <w:t>Autorização de Compra;</w:t>
      </w:r>
    </w:p>
    <w:p w:rsidR="001E511D" w:rsidRPr="00145DF5" w:rsidRDefault="001E511D" w:rsidP="00BE70D4">
      <w:pPr>
        <w:autoSpaceDE w:val="0"/>
        <w:autoSpaceDN w:val="0"/>
        <w:adjustRightInd w:val="0"/>
        <w:jc w:val="both"/>
        <w:rPr>
          <w:rFonts w:ascii="Century Gothic" w:hAnsi="Century Gothic"/>
          <w:b/>
          <w:bCs/>
          <w:sz w:val="28"/>
          <w:szCs w:val="28"/>
        </w:rPr>
      </w:pPr>
    </w:p>
    <w:p w:rsidR="001E511D" w:rsidRPr="00145DF5" w:rsidRDefault="001E511D" w:rsidP="00BE70D4">
      <w:pPr>
        <w:autoSpaceDE w:val="0"/>
        <w:autoSpaceDN w:val="0"/>
        <w:adjustRightInd w:val="0"/>
        <w:jc w:val="both"/>
        <w:rPr>
          <w:rFonts w:ascii="Century Gothic" w:hAnsi="Century Gothic" w:cs="Arial"/>
          <w:sz w:val="28"/>
          <w:szCs w:val="28"/>
        </w:rPr>
      </w:pPr>
      <w:r w:rsidRPr="00145DF5">
        <w:rPr>
          <w:rFonts w:ascii="Century Gothic" w:hAnsi="Century Gothic"/>
          <w:b/>
          <w:bCs/>
          <w:sz w:val="28"/>
          <w:szCs w:val="28"/>
        </w:rPr>
        <w:t xml:space="preserve">4.3.5 – </w:t>
      </w:r>
      <w:r w:rsidRPr="00145DF5">
        <w:rPr>
          <w:rFonts w:ascii="Century Gothic" w:hAnsi="Century Gothic"/>
          <w:sz w:val="28"/>
          <w:szCs w:val="28"/>
        </w:rPr>
        <w:t xml:space="preserve">Prazo de validade da proposta de, no mínimo, </w:t>
      </w:r>
      <w:r w:rsidRPr="00145DF5">
        <w:rPr>
          <w:rFonts w:ascii="Century Gothic" w:hAnsi="Century Gothic"/>
          <w:b/>
          <w:bCs/>
          <w:sz w:val="28"/>
          <w:szCs w:val="28"/>
        </w:rPr>
        <w:t xml:space="preserve">60 </w:t>
      </w:r>
      <w:r w:rsidRPr="00145DF5">
        <w:rPr>
          <w:rFonts w:ascii="Century Gothic" w:hAnsi="Century Gothic"/>
          <w:sz w:val="28"/>
          <w:szCs w:val="28"/>
        </w:rPr>
        <w:t xml:space="preserve">(sessenta) </w:t>
      </w:r>
      <w:r w:rsidRPr="00145DF5">
        <w:rPr>
          <w:rFonts w:ascii="Century Gothic" w:hAnsi="Century Gothic"/>
          <w:b/>
          <w:bCs/>
          <w:sz w:val="28"/>
          <w:szCs w:val="28"/>
        </w:rPr>
        <w:t xml:space="preserve">dias </w:t>
      </w:r>
      <w:r w:rsidRPr="00145DF5">
        <w:rPr>
          <w:rFonts w:ascii="Century Gothic" w:hAnsi="Century Gothic"/>
          <w:sz w:val="28"/>
          <w:szCs w:val="28"/>
        </w:rPr>
        <w:t>corridos, contados a partir da data de abertura dos envelopes, podendo ser prorrogado por acordo das partes;</w:t>
      </w:r>
    </w:p>
    <w:p w:rsidR="00E20CF0" w:rsidRPr="00145DF5" w:rsidRDefault="00E20CF0" w:rsidP="00BE70D4">
      <w:pPr>
        <w:autoSpaceDE w:val="0"/>
        <w:autoSpaceDN w:val="0"/>
        <w:adjustRightInd w:val="0"/>
        <w:jc w:val="both"/>
        <w:rPr>
          <w:rFonts w:ascii="Century Gothic" w:hAnsi="Century Gothic" w:cs="Arial"/>
          <w:sz w:val="28"/>
          <w:szCs w:val="28"/>
        </w:rPr>
      </w:pPr>
    </w:p>
    <w:p w:rsidR="00E20CF0" w:rsidRPr="00145DF5" w:rsidRDefault="001E511D"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lastRenderedPageBreak/>
        <w:t>4.3</w:t>
      </w:r>
      <w:r w:rsidR="00E20CF0" w:rsidRPr="00145DF5">
        <w:rPr>
          <w:rFonts w:ascii="Century Gothic" w:hAnsi="Century Gothic" w:cs="Arial"/>
          <w:b/>
          <w:bCs/>
          <w:sz w:val="28"/>
          <w:szCs w:val="28"/>
        </w:rPr>
        <w:t xml:space="preserve">.6 </w:t>
      </w:r>
      <w:r w:rsidR="00E20CF0" w:rsidRPr="00145DF5">
        <w:rPr>
          <w:rFonts w:ascii="Century Gothic" w:hAnsi="Century Gothic" w:cs="Arial"/>
          <w:sz w:val="28"/>
          <w:szCs w:val="28"/>
        </w:rPr>
        <w:t>– Declaração impressa na proposta de que o</w:t>
      </w:r>
      <w:r w:rsidR="008E6668" w:rsidRPr="00145DF5">
        <w:rPr>
          <w:rFonts w:ascii="Century Gothic" w:hAnsi="Century Gothic" w:cs="Arial"/>
          <w:sz w:val="28"/>
          <w:szCs w:val="28"/>
        </w:rPr>
        <w:t>s</w:t>
      </w:r>
      <w:r w:rsidR="00E20CF0" w:rsidRPr="00145DF5">
        <w:rPr>
          <w:rFonts w:ascii="Century Gothic" w:hAnsi="Century Gothic" w:cs="Arial"/>
          <w:sz w:val="28"/>
          <w:szCs w:val="28"/>
        </w:rPr>
        <w:t xml:space="preserve"> </w:t>
      </w:r>
      <w:r w:rsidR="00C60AED">
        <w:rPr>
          <w:rFonts w:ascii="Century Gothic" w:hAnsi="Century Gothic"/>
          <w:sz w:val="28"/>
          <w:szCs w:val="28"/>
        </w:rPr>
        <w:t>materiais</w:t>
      </w:r>
      <w:r w:rsidR="00055FBC" w:rsidRPr="00145DF5">
        <w:rPr>
          <w:rFonts w:ascii="Century Gothic" w:hAnsi="Century Gothic" w:cs="Arial"/>
          <w:sz w:val="28"/>
          <w:szCs w:val="28"/>
        </w:rPr>
        <w:t xml:space="preserve"> </w:t>
      </w:r>
      <w:r w:rsidR="00E20CF0" w:rsidRPr="00145DF5">
        <w:rPr>
          <w:rFonts w:ascii="Century Gothic" w:hAnsi="Century Gothic" w:cs="Arial"/>
          <w:sz w:val="28"/>
          <w:szCs w:val="28"/>
        </w:rPr>
        <w:t>ofertado</w:t>
      </w:r>
      <w:r w:rsidR="008E6668" w:rsidRPr="00145DF5">
        <w:rPr>
          <w:rFonts w:ascii="Century Gothic" w:hAnsi="Century Gothic" w:cs="Arial"/>
          <w:sz w:val="28"/>
          <w:szCs w:val="28"/>
        </w:rPr>
        <w:t>s</w:t>
      </w:r>
      <w:r w:rsidR="00E20CF0" w:rsidRPr="00145DF5">
        <w:rPr>
          <w:rFonts w:ascii="Century Gothic" w:hAnsi="Century Gothic" w:cs="Arial"/>
          <w:sz w:val="28"/>
          <w:szCs w:val="28"/>
        </w:rPr>
        <w:t xml:space="preserve"> atende</w:t>
      </w:r>
      <w:r w:rsidR="008E6668" w:rsidRPr="00145DF5">
        <w:rPr>
          <w:rFonts w:ascii="Century Gothic" w:hAnsi="Century Gothic" w:cs="Arial"/>
          <w:sz w:val="28"/>
          <w:szCs w:val="28"/>
        </w:rPr>
        <w:t>m</w:t>
      </w:r>
      <w:r w:rsidR="00E20CF0" w:rsidRPr="00145DF5">
        <w:rPr>
          <w:rFonts w:ascii="Century Gothic" w:hAnsi="Century Gothic" w:cs="Arial"/>
          <w:sz w:val="28"/>
          <w:szCs w:val="28"/>
        </w:rPr>
        <w:t xml:space="preserve"> todas as especificações exigidas no Anexo II;</w:t>
      </w:r>
    </w:p>
    <w:p w:rsidR="00D670EF" w:rsidRPr="00145DF5" w:rsidRDefault="00D670EF" w:rsidP="00BE70D4">
      <w:pPr>
        <w:autoSpaceDE w:val="0"/>
        <w:autoSpaceDN w:val="0"/>
        <w:adjustRightInd w:val="0"/>
        <w:jc w:val="both"/>
        <w:rPr>
          <w:rFonts w:ascii="Century Gothic" w:hAnsi="Century Gothic" w:cs="Arial"/>
          <w:sz w:val="28"/>
          <w:szCs w:val="28"/>
        </w:rPr>
      </w:pPr>
    </w:p>
    <w:p w:rsidR="00E20CF0" w:rsidRPr="00145DF5" w:rsidRDefault="001E511D"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4.3</w:t>
      </w:r>
      <w:r w:rsidR="00E20CF0" w:rsidRPr="00145DF5">
        <w:rPr>
          <w:rFonts w:ascii="Century Gothic" w:hAnsi="Century Gothic" w:cs="Arial"/>
          <w:b/>
          <w:bCs/>
          <w:sz w:val="28"/>
          <w:szCs w:val="28"/>
        </w:rPr>
        <w:t xml:space="preserve">.7 </w:t>
      </w:r>
      <w:r w:rsidR="00E20CF0" w:rsidRPr="00145DF5">
        <w:rPr>
          <w:rFonts w:ascii="Century Gothic" w:hAnsi="Century Gothic" w:cs="Arial"/>
          <w:sz w:val="28"/>
          <w:szCs w:val="28"/>
        </w:rPr>
        <w:t xml:space="preserve">– </w:t>
      </w:r>
      <w:r w:rsidR="00E20CF0" w:rsidRPr="00145DF5">
        <w:rPr>
          <w:rFonts w:ascii="Century Gothic" w:hAnsi="Century Gothic"/>
          <w:sz w:val="28"/>
          <w:szCs w:val="28"/>
        </w:rPr>
        <w:t>Declaração impressa na proposta de que o</w:t>
      </w:r>
      <w:r w:rsidR="008E6668" w:rsidRPr="00145DF5">
        <w:rPr>
          <w:rFonts w:ascii="Century Gothic" w:hAnsi="Century Gothic"/>
          <w:sz w:val="28"/>
          <w:szCs w:val="28"/>
        </w:rPr>
        <w:t>s</w:t>
      </w:r>
      <w:r w:rsidR="00E20CF0" w:rsidRPr="00145DF5">
        <w:rPr>
          <w:rFonts w:ascii="Century Gothic" w:hAnsi="Century Gothic"/>
          <w:sz w:val="28"/>
          <w:szCs w:val="28"/>
        </w:rPr>
        <w:t xml:space="preserve"> preço</w:t>
      </w:r>
      <w:r w:rsidR="008E6668" w:rsidRPr="00145DF5">
        <w:rPr>
          <w:rFonts w:ascii="Century Gothic" w:hAnsi="Century Gothic"/>
          <w:sz w:val="28"/>
          <w:szCs w:val="28"/>
        </w:rPr>
        <w:t>s</w:t>
      </w:r>
      <w:r w:rsidR="00E20CF0" w:rsidRPr="00145DF5">
        <w:rPr>
          <w:rFonts w:ascii="Century Gothic" w:hAnsi="Century Gothic"/>
          <w:sz w:val="28"/>
          <w:szCs w:val="28"/>
        </w:rPr>
        <w:t xml:space="preserve"> apresentado</w:t>
      </w:r>
      <w:r w:rsidR="008E6668" w:rsidRPr="00145DF5">
        <w:rPr>
          <w:rFonts w:ascii="Century Gothic" w:hAnsi="Century Gothic"/>
          <w:sz w:val="28"/>
          <w:szCs w:val="28"/>
        </w:rPr>
        <w:t>s</w:t>
      </w:r>
      <w:r w:rsidR="00E20CF0" w:rsidRPr="00145DF5">
        <w:rPr>
          <w:rFonts w:ascii="Century Gothic" w:hAnsi="Century Gothic"/>
          <w:sz w:val="28"/>
          <w:szCs w:val="28"/>
        </w:rPr>
        <w:t xml:space="preserve"> contempla</w:t>
      </w:r>
      <w:r w:rsidR="008E6668" w:rsidRPr="00145DF5">
        <w:rPr>
          <w:rFonts w:ascii="Century Gothic" w:hAnsi="Century Gothic"/>
          <w:sz w:val="28"/>
          <w:szCs w:val="28"/>
        </w:rPr>
        <w:t>m</w:t>
      </w:r>
      <w:r w:rsidR="00E20CF0" w:rsidRPr="00145DF5">
        <w:rPr>
          <w:rFonts w:ascii="Century Gothic" w:hAnsi="Century Gothic"/>
          <w:sz w:val="28"/>
          <w:szCs w:val="28"/>
        </w:rPr>
        <w:t xml:space="preserve"> todos os custos diretos e indiretos referentes ao objeto licitado</w:t>
      </w:r>
      <w:r w:rsidR="00E20CF0" w:rsidRPr="00145DF5">
        <w:rPr>
          <w:rFonts w:ascii="Century Gothic" w:hAnsi="Century Gothic" w:cs="Arial"/>
          <w:sz w:val="28"/>
          <w:szCs w:val="28"/>
        </w:rPr>
        <w:t>.</w:t>
      </w:r>
    </w:p>
    <w:p w:rsidR="00625E56" w:rsidRPr="00145DF5" w:rsidRDefault="00625E56" w:rsidP="00BE70D4">
      <w:pPr>
        <w:autoSpaceDE w:val="0"/>
        <w:autoSpaceDN w:val="0"/>
        <w:adjustRightInd w:val="0"/>
        <w:jc w:val="both"/>
        <w:rPr>
          <w:rFonts w:ascii="Century Gothic" w:hAnsi="Century Gothic" w:cs="Arial"/>
          <w:b/>
          <w:bCs/>
          <w:sz w:val="28"/>
          <w:szCs w:val="28"/>
        </w:rPr>
      </w:pPr>
    </w:p>
    <w:p w:rsidR="009A5808" w:rsidRPr="00145DF5" w:rsidRDefault="009A5808" w:rsidP="00BE70D4">
      <w:pPr>
        <w:autoSpaceDE w:val="0"/>
        <w:autoSpaceDN w:val="0"/>
        <w:adjustRightInd w:val="0"/>
        <w:jc w:val="both"/>
        <w:rPr>
          <w:rFonts w:ascii="Century Gothic" w:hAnsi="Century Gothic" w:cs="Arial"/>
          <w:b/>
          <w:bCs/>
          <w:sz w:val="28"/>
          <w:szCs w:val="28"/>
        </w:rPr>
      </w:pPr>
      <w:r w:rsidRPr="00145DF5">
        <w:rPr>
          <w:rFonts w:ascii="Century Gothic" w:hAnsi="Century Gothic" w:cs="Arial"/>
          <w:b/>
          <w:bCs/>
          <w:sz w:val="28"/>
          <w:szCs w:val="28"/>
        </w:rPr>
        <w:t>5 – DOCUMENTAÇÃO DE HABILITAÇÃO</w:t>
      </w:r>
    </w:p>
    <w:p w:rsidR="009A5808" w:rsidRPr="00145DF5" w:rsidRDefault="009A5808" w:rsidP="00BE70D4">
      <w:pPr>
        <w:autoSpaceDE w:val="0"/>
        <w:autoSpaceDN w:val="0"/>
        <w:adjustRightInd w:val="0"/>
        <w:jc w:val="both"/>
        <w:rPr>
          <w:rFonts w:ascii="Century Gothic" w:hAnsi="Century Gothic" w:cs="Arial"/>
          <w:b/>
          <w:bCs/>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sz w:val="28"/>
          <w:szCs w:val="28"/>
        </w:rPr>
        <w:t xml:space="preserve">Para a habilitação </w:t>
      </w:r>
      <w:r w:rsidRPr="00145DF5">
        <w:rPr>
          <w:rFonts w:ascii="Century Gothic" w:hAnsi="Century Gothic" w:cs="Arial"/>
          <w:b/>
          <w:bCs/>
          <w:sz w:val="28"/>
          <w:szCs w:val="28"/>
        </w:rPr>
        <w:t xml:space="preserve">todos os </w:t>
      </w:r>
      <w:r w:rsidRPr="00145DF5">
        <w:rPr>
          <w:rFonts w:ascii="Century Gothic" w:hAnsi="Century Gothic" w:cs="Arial"/>
          <w:b/>
          <w:sz w:val="28"/>
          <w:szCs w:val="28"/>
        </w:rPr>
        <w:t>licitantes</w:t>
      </w:r>
      <w:r w:rsidRPr="00145DF5">
        <w:rPr>
          <w:rFonts w:ascii="Century Gothic" w:hAnsi="Century Gothic" w:cs="Arial"/>
          <w:sz w:val="28"/>
          <w:szCs w:val="28"/>
        </w:rPr>
        <w:t>, deverão apresentar a seguinte documentação:</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5.1 – HABILITAÇÃO JURÍDICA</w:t>
      </w:r>
      <w:r w:rsidRPr="00145DF5">
        <w:rPr>
          <w:rFonts w:ascii="Century Gothic" w:hAnsi="Century Gothic" w:cs="Arial"/>
          <w:sz w:val="28"/>
          <w:szCs w:val="28"/>
        </w:rPr>
        <w:t>, conforme o caso:</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a) </w:t>
      </w:r>
      <w:r w:rsidRPr="00145DF5">
        <w:rPr>
          <w:rFonts w:ascii="Century Gothic" w:hAnsi="Century Gothic" w:cs="Arial"/>
          <w:sz w:val="28"/>
          <w:szCs w:val="28"/>
        </w:rPr>
        <w:t>Em se tratando de sociedades empresárias ou simples, o ato constitutivo, estatuto ou contrato social em vigor, devidamente registrado, conforme o caso, na Junta Comercial ou no Cartório de Registro Civil de Pessoas Jurídicas, nos termos da lei e, no caso de sociedades por ações, acompanhado de documentos de eleição de seus administradores;</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a.1) </w:t>
      </w:r>
      <w:r w:rsidRPr="00145DF5">
        <w:rPr>
          <w:rFonts w:ascii="Century Gothic" w:hAnsi="Century Gothic" w:cs="Arial"/>
          <w:sz w:val="28"/>
          <w:szCs w:val="28"/>
        </w:rPr>
        <w:t>Os documentos descritos no item anterior deverão estar acompanhados de todas as alterações ou da consolidação respectiva, conforme legislação em vigor;</w:t>
      </w:r>
    </w:p>
    <w:p w:rsidR="009A5808" w:rsidRPr="00145DF5" w:rsidRDefault="009A5808" w:rsidP="00BE70D4">
      <w:pPr>
        <w:autoSpaceDE w:val="0"/>
        <w:autoSpaceDN w:val="0"/>
        <w:adjustRightInd w:val="0"/>
        <w:jc w:val="both"/>
        <w:rPr>
          <w:rFonts w:ascii="Century Gothic" w:hAnsi="Century Gothic" w:cs="Arial"/>
          <w:b/>
          <w:bCs/>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b) </w:t>
      </w:r>
      <w:r w:rsidRPr="00145DF5">
        <w:rPr>
          <w:rFonts w:ascii="Century Gothic" w:hAnsi="Century Gothic" w:cs="Arial"/>
          <w:sz w:val="28"/>
          <w:szCs w:val="28"/>
        </w:rPr>
        <w:t>Decreto de autorização e Ato de Registro ou Autorização para Funcionamento expedido pelo órgão competente, tratando-se de empresa ou sociedade estrangeira em funcionamento no país, quando a atividade assim o exigir;</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b/>
          <w:bCs/>
          <w:sz w:val="28"/>
          <w:szCs w:val="28"/>
        </w:rPr>
        <w:t xml:space="preserve">c) </w:t>
      </w:r>
      <w:r w:rsidRPr="00145DF5">
        <w:rPr>
          <w:rFonts w:ascii="Century Gothic" w:hAnsi="Century Gothic"/>
          <w:sz w:val="28"/>
          <w:szCs w:val="28"/>
        </w:rPr>
        <w:t xml:space="preserve">Os documentos relacionados no subitem “a” </w:t>
      </w:r>
      <w:r w:rsidRPr="00145DF5">
        <w:rPr>
          <w:rFonts w:ascii="Century Gothic" w:hAnsi="Century Gothic"/>
          <w:b/>
          <w:bCs/>
          <w:sz w:val="28"/>
          <w:szCs w:val="28"/>
        </w:rPr>
        <w:t xml:space="preserve">não </w:t>
      </w:r>
      <w:r w:rsidRPr="00145DF5">
        <w:rPr>
          <w:rFonts w:ascii="Century Gothic" w:hAnsi="Century Gothic"/>
          <w:sz w:val="28"/>
          <w:szCs w:val="28"/>
        </w:rPr>
        <w:t xml:space="preserve">precisarão constar do </w:t>
      </w:r>
      <w:r w:rsidRPr="00145DF5">
        <w:rPr>
          <w:rFonts w:ascii="Century Gothic" w:hAnsi="Century Gothic"/>
          <w:b/>
          <w:bCs/>
          <w:sz w:val="28"/>
          <w:szCs w:val="28"/>
        </w:rPr>
        <w:t xml:space="preserve">Envelope nº 02 – Habilitação </w:t>
      </w:r>
      <w:r w:rsidRPr="00145DF5">
        <w:rPr>
          <w:rFonts w:ascii="Century Gothic" w:hAnsi="Century Gothic"/>
          <w:sz w:val="28"/>
          <w:szCs w:val="28"/>
        </w:rPr>
        <w:t>se tiverem sido apresentados para o credenciamento neste Pregão.</w:t>
      </w:r>
    </w:p>
    <w:p w:rsidR="0042553B" w:rsidRPr="00145DF5" w:rsidRDefault="0042553B"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b/>
          <w:bCs/>
          <w:sz w:val="28"/>
          <w:szCs w:val="28"/>
        </w:rPr>
      </w:pPr>
      <w:r w:rsidRPr="00145DF5">
        <w:rPr>
          <w:rFonts w:ascii="Century Gothic" w:hAnsi="Century Gothic" w:cs="Arial"/>
          <w:b/>
          <w:bCs/>
          <w:sz w:val="28"/>
          <w:szCs w:val="28"/>
        </w:rPr>
        <w:t xml:space="preserve">5.2 </w:t>
      </w:r>
      <w:r w:rsidRPr="00145DF5">
        <w:rPr>
          <w:rFonts w:ascii="Century Gothic" w:hAnsi="Century Gothic" w:cs="Arial"/>
          <w:sz w:val="28"/>
          <w:szCs w:val="28"/>
        </w:rPr>
        <w:t xml:space="preserve">– </w:t>
      </w:r>
      <w:r w:rsidRPr="00145DF5">
        <w:rPr>
          <w:rFonts w:ascii="Century Gothic" w:hAnsi="Century Gothic" w:cs="Arial"/>
          <w:b/>
          <w:bCs/>
          <w:sz w:val="28"/>
          <w:szCs w:val="28"/>
        </w:rPr>
        <w:t>REGULARIDADE FISCAL E TRABALHISTA</w:t>
      </w:r>
    </w:p>
    <w:p w:rsidR="009A5808" w:rsidRPr="00145DF5" w:rsidRDefault="009A5808" w:rsidP="00BE70D4">
      <w:pPr>
        <w:autoSpaceDE w:val="0"/>
        <w:autoSpaceDN w:val="0"/>
        <w:adjustRightInd w:val="0"/>
        <w:jc w:val="both"/>
        <w:rPr>
          <w:rFonts w:ascii="Century Gothic" w:hAnsi="Century Gothic" w:cs="Arial"/>
          <w:b/>
          <w:bCs/>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a) </w:t>
      </w:r>
      <w:r w:rsidRPr="00145DF5">
        <w:rPr>
          <w:rFonts w:ascii="Century Gothic" w:hAnsi="Century Gothic" w:cs="Arial"/>
          <w:sz w:val="28"/>
          <w:szCs w:val="28"/>
        </w:rPr>
        <w:t>Prova de inscrição no Cadastro Nacional de Pessoas Jurídicas do Ministério da Fazenda (CNPJ);</w:t>
      </w:r>
    </w:p>
    <w:p w:rsidR="00D01193" w:rsidRPr="00145DF5" w:rsidRDefault="00D01193"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lastRenderedPageBreak/>
        <w:t xml:space="preserve">b) </w:t>
      </w:r>
      <w:r w:rsidRPr="00145DF5">
        <w:rPr>
          <w:rFonts w:ascii="Century Gothic" w:hAnsi="Century Gothic" w:cs="Arial"/>
          <w:sz w:val="28"/>
          <w:szCs w:val="28"/>
        </w:rPr>
        <w:t>Prova de inscrição no Cadastro de Contribuintes Estadual ou Municipal, se houver, relativo ao domicílio ou sede do licitante, pertinente ao seu ramo de atividade e compatível com o objeto do certame;</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c) </w:t>
      </w:r>
      <w:r w:rsidRPr="00145DF5">
        <w:rPr>
          <w:rFonts w:ascii="Century Gothic" w:hAnsi="Century Gothic" w:cs="Arial"/>
          <w:sz w:val="28"/>
          <w:szCs w:val="28"/>
        </w:rPr>
        <w:t>Prova de regularidade para com as Fazendas Federal, Estadual e Municipal, do domicílio ou sede do licitante, ou outra equivalente na forma da lei, mediante a apresentação das seguintes certidões:</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c.1) </w:t>
      </w:r>
      <w:r w:rsidRPr="00145DF5">
        <w:rPr>
          <w:rFonts w:ascii="Century Gothic" w:hAnsi="Century Gothic" w:cs="Arial"/>
          <w:sz w:val="28"/>
          <w:szCs w:val="28"/>
        </w:rPr>
        <w:t xml:space="preserve">Certidão Conjunta Negativa de Débitos </w:t>
      </w:r>
      <w:r w:rsidRPr="00145DF5">
        <w:rPr>
          <w:rFonts w:ascii="Century Gothic" w:hAnsi="Century Gothic" w:cs="Arial"/>
          <w:b/>
          <w:bCs/>
          <w:sz w:val="28"/>
          <w:szCs w:val="28"/>
        </w:rPr>
        <w:t xml:space="preserve">ou </w:t>
      </w:r>
      <w:r w:rsidRPr="00145DF5">
        <w:rPr>
          <w:rFonts w:ascii="Century Gothic" w:hAnsi="Century Gothic" w:cs="Arial"/>
          <w:sz w:val="28"/>
          <w:szCs w:val="28"/>
        </w:rPr>
        <w:t>Certidão Conjunta Positiva com Efeitos de Negativa, relativos a Tributos Federais e à Dívida Ativa da União, expedida pela Secretaria da Receita Federal;</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c.2) </w:t>
      </w:r>
      <w:r w:rsidRPr="00145DF5">
        <w:rPr>
          <w:rFonts w:ascii="Century Gothic" w:hAnsi="Century Gothic"/>
          <w:sz w:val="28"/>
          <w:szCs w:val="28"/>
        </w:rPr>
        <w:t xml:space="preserve">Certidão de Regularidade de ICMS – Imposto sobre Circulação de Mercadorias e Serviços, expedida pela Secretaria da Fazenda </w:t>
      </w:r>
      <w:r w:rsidRPr="00145DF5">
        <w:rPr>
          <w:rFonts w:ascii="Century Gothic" w:hAnsi="Century Gothic"/>
          <w:b/>
          <w:bCs/>
          <w:sz w:val="28"/>
          <w:szCs w:val="28"/>
        </w:rPr>
        <w:t xml:space="preserve">ou </w:t>
      </w:r>
      <w:r w:rsidRPr="00145DF5">
        <w:rPr>
          <w:rFonts w:ascii="Century Gothic" w:hAnsi="Century Gothic"/>
          <w:sz w:val="28"/>
          <w:szCs w:val="28"/>
        </w:rPr>
        <w:t xml:space="preserve">Certidão Negativa de Débitos Tributários expedida pela Procuradoria Geral do Estado de São Paulo, nos termos da Resolução Conjunta SF/PGE 03, de 13/08/2010 </w:t>
      </w:r>
      <w:r w:rsidRPr="00145DF5">
        <w:rPr>
          <w:rFonts w:ascii="Century Gothic" w:hAnsi="Century Gothic"/>
          <w:b/>
          <w:bCs/>
          <w:sz w:val="28"/>
          <w:szCs w:val="28"/>
        </w:rPr>
        <w:t xml:space="preserve">ou </w:t>
      </w:r>
      <w:r w:rsidRPr="00145DF5">
        <w:rPr>
          <w:rFonts w:ascii="Century Gothic" w:hAnsi="Century Gothic"/>
          <w:sz w:val="28"/>
          <w:szCs w:val="28"/>
        </w:rPr>
        <w:t xml:space="preserve">declaração de isenção </w:t>
      </w:r>
      <w:r w:rsidRPr="00145DF5">
        <w:rPr>
          <w:rFonts w:ascii="Century Gothic" w:hAnsi="Century Gothic"/>
          <w:b/>
          <w:bCs/>
          <w:sz w:val="28"/>
          <w:szCs w:val="28"/>
        </w:rPr>
        <w:t xml:space="preserve">ou </w:t>
      </w:r>
      <w:r w:rsidRPr="00145DF5">
        <w:rPr>
          <w:rFonts w:ascii="Century Gothic" w:hAnsi="Century Gothic"/>
          <w:sz w:val="28"/>
          <w:szCs w:val="28"/>
        </w:rPr>
        <w:t>de não incidência assinada pelo representante legal do licitante, sob as penas da lei;</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c.3) </w:t>
      </w:r>
      <w:r w:rsidRPr="00145DF5">
        <w:rPr>
          <w:rFonts w:ascii="Century Gothic" w:hAnsi="Century Gothic" w:cs="Arial"/>
          <w:sz w:val="28"/>
          <w:szCs w:val="28"/>
        </w:rPr>
        <w:t xml:space="preserve">Certidão Negativa </w:t>
      </w:r>
      <w:r w:rsidRPr="00145DF5">
        <w:rPr>
          <w:rFonts w:ascii="Century Gothic" w:hAnsi="Century Gothic" w:cs="Arial"/>
          <w:b/>
          <w:bCs/>
          <w:sz w:val="28"/>
          <w:szCs w:val="28"/>
        </w:rPr>
        <w:t xml:space="preserve">ou </w:t>
      </w:r>
      <w:r w:rsidRPr="00145DF5">
        <w:rPr>
          <w:rFonts w:ascii="Century Gothic" w:hAnsi="Century Gothic" w:cs="Arial"/>
          <w:sz w:val="28"/>
          <w:szCs w:val="28"/>
        </w:rPr>
        <w:t>Positiva com Efeitos de Negativa de Tributos Mobiliários, expedida pela Secretaria Municipal de Finanças;</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d) </w:t>
      </w:r>
      <w:r w:rsidRPr="00145DF5">
        <w:rPr>
          <w:rFonts w:ascii="Century Gothic" w:hAnsi="Century Gothic" w:cs="Arial"/>
          <w:sz w:val="28"/>
          <w:szCs w:val="28"/>
        </w:rPr>
        <w:t>Prova de regularidade perante o Sistema de Seguridade Social – INSS mediante a apresentação da CND – Certidão Negativa de Débito ou CPD-EN – Certidão Positiva de Débito com Efeitos de Negativa;</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e) </w:t>
      </w:r>
      <w:r w:rsidRPr="00145DF5">
        <w:rPr>
          <w:rFonts w:ascii="Century Gothic" w:hAnsi="Century Gothic" w:cs="Arial"/>
          <w:sz w:val="28"/>
          <w:szCs w:val="28"/>
        </w:rPr>
        <w:t>Prova de regularidade perante o Fundo de Garantia por Tempo de Serviço (FGTS), por meio da apresentação do CRF – Certificado de Regularidade do FGTS;</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sz w:val="28"/>
          <w:szCs w:val="28"/>
        </w:rPr>
      </w:pPr>
      <w:r w:rsidRPr="00145DF5">
        <w:rPr>
          <w:rFonts w:ascii="Century Gothic" w:hAnsi="Century Gothic" w:cs="Arial"/>
          <w:b/>
          <w:sz w:val="28"/>
          <w:szCs w:val="28"/>
        </w:rPr>
        <w:t>f)</w:t>
      </w:r>
      <w:r w:rsidRPr="00145DF5">
        <w:rPr>
          <w:rFonts w:ascii="Century Gothic" w:hAnsi="Century Gothic" w:cs="Arial"/>
          <w:sz w:val="28"/>
          <w:szCs w:val="28"/>
        </w:rPr>
        <w:t xml:space="preserve"> </w:t>
      </w:r>
      <w:r w:rsidRPr="00145DF5">
        <w:rPr>
          <w:rFonts w:ascii="Century Gothic" w:hAnsi="Century Gothic"/>
          <w:sz w:val="28"/>
          <w:szCs w:val="28"/>
        </w:rPr>
        <w:t xml:space="preserve">Prova de inexistência de débitos inadimplidos perante a Justiça do Trabalho, mediante a apresentação da </w:t>
      </w:r>
      <w:r w:rsidRPr="00145DF5">
        <w:rPr>
          <w:rFonts w:ascii="Century Gothic" w:hAnsi="Century Gothic"/>
          <w:b/>
          <w:bCs/>
          <w:sz w:val="28"/>
          <w:szCs w:val="28"/>
        </w:rPr>
        <w:t>Certidão Negativa de Débitos Trabalhistas (CNDT) ou Certidão Positiva de Débitos Trabalhistas</w:t>
      </w:r>
      <w:r w:rsidRPr="00145DF5">
        <w:rPr>
          <w:rFonts w:ascii="Century Gothic" w:hAnsi="Century Gothic"/>
          <w:sz w:val="28"/>
          <w:szCs w:val="28"/>
        </w:rPr>
        <w:t>, nos termos do Título VII-A da Consolidação das Leis do Trabalho, aprovada pelo Decreto-Lei no 5.452, de 1º de maio de 1943;</w:t>
      </w:r>
    </w:p>
    <w:p w:rsidR="009A5808" w:rsidRPr="00145DF5" w:rsidRDefault="009A5808" w:rsidP="00BE70D4">
      <w:pPr>
        <w:autoSpaceDE w:val="0"/>
        <w:autoSpaceDN w:val="0"/>
        <w:adjustRightInd w:val="0"/>
        <w:jc w:val="both"/>
        <w:rPr>
          <w:rFonts w:ascii="Century Gothic" w:hAnsi="Century Gothic"/>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lastRenderedPageBreak/>
        <w:t xml:space="preserve">g) </w:t>
      </w:r>
      <w:r w:rsidRPr="00145DF5">
        <w:rPr>
          <w:rFonts w:ascii="Century Gothic" w:hAnsi="Century Gothic" w:cs="Arial"/>
          <w:sz w:val="28"/>
          <w:szCs w:val="28"/>
        </w:rPr>
        <w:t xml:space="preserve">A comprovação de regularidade fiscal das microempresas e empresas de pequeno porte somente será exigida para efeito de </w:t>
      </w:r>
      <w:r w:rsidRPr="00145DF5">
        <w:rPr>
          <w:rFonts w:ascii="Century Gothic" w:hAnsi="Century Gothic" w:cs="Arial"/>
          <w:b/>
          <w:bCs/>
          <w:sz w:val="28"/>
          <w:szCs w:val="28"/>
        </w:rPr>
        <w:t>assinatura do contrato</w:t>
      </w:r>
      <w:r w:rsidRPr="00145DF5">
        <w:rPr>
          <w:rFonts w:ascii="Century Gothic" w:hAnsi="Century Gothic" w:cs="Arial"/>
          <w:sz w:val="28"/>
          <w:szCs w:val="28"/>
        </w:rPr>
        <w:t xml:space="preserve">; </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g.1) </w:t>
      </w:r>
      <w:r w:rsidRPr="00145DF5">
        <w:rPr>
          <w:rFonts w:ascii="Century Gothic" w:hAnsi="Century Gothic" w:cs="Arial"/>
          <w:sz w:val="28"/>
          <w:szCs w:val="28"/>
        </w:rPr>
        <w:t xml:space="preserve">As microempresas e empresas de pequeno porte, por ocasião da participação neste certame, deverão apresentar toda a documentação exigida para fins de comprovação de regularidade fiscal, mesmo que esta apresente alguma restrição; </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g.2) </w:t>
      </w:r>
      <w:r w:rsidRPr="00145DF5">
        <w:rPr>
          <w:rFonts w:ascii="Century Gothic" w:hAnsi="Century Gothic" w:cs="Arial"/>
          <w:sz w:val="28"/>
          <w:szCs w:val="28"/>
        </w:rPr>
        <w:t xml:space="preserve">Havendo alguma restrição na comprovação da regularidade fiscal, será assegurado o prazo de </w:t>
      </w:r>
      <w:r w:rsidRPr="00145DF5">
        <w:rPr>
          <w:rFonts w:ascii="Century Gothic" w:hAnsi="Century Gothic" w:cs="Arial"/>
          <w:b/>
          <w:bCs/>
          <w:sz w:val="28"/>
          <w:szCs w:val="28"/>
        </w:rPr>
        <w:t>dois dias úteis</w:t>
      </w:r>
      <w:r w:rsidRPr="00145DF5">
        <w:rPr>
          <w:rFonts w:ascii="Century Gothic" w:hAnsi="Century Gothic" w:cs="Arial"/>
          <w:sz w:val="28"/>
          <w:szCs w:val="28"/>
        </w:rPr>
        <w:t xml:space="preserve">, a contar da </w:t>
      </w:r>
      <w:r w:rsidRPr="00145DF5">
        <w:rPr>
          <w:rFonts w:ascii="Century Gothic" w:hAnsi="Century Gothic" w:cs="Arial"/>
          <w:b/>
          <w:bCs/>
          <w:sz w:val="28"/>
          <w:szCs w:val="28"/>
        </w:rPr>
        <w:t>publicação da homologação do certame</w:t>
      </w:r>
      <w:r w:rsidRPr="00145DF5">
        <w:rPr>
          <w:rFonts w:ascii="Century Gothic" w:hAnsi="Century Gothic" w:cs="Arial"/>
          <w:sz w:val="28"/>
          <w:szCs w:val="28"/>
        </w:rPr>
        <w:t>, prorrogáveis por</w:t>
      </w:r>
      <w:r w:rsidR="009002CF" w:rsidRPr="00145DF5">
        <w:rPr>
          <w:rFonts w:ascii="Century Gothic" w:hAnsi="Century Gothic" w:cs="Arial"/>
          <w:sz w:val="28"/>
          <w:szCs w:val="28"/>
        </w:rPr>
        <w:t xml:space="preserve"> igual período, a critério deste</w:t>
      </w:r>
      <w:r w:rsidRPr="00145DF5">
        <w:rPr>
          <w:rFonts w:ascii="Century Gothic" w:hAnsi="Century Gothic" w:cs="Arial"/>
          <w:sz w:val="28"/>
          <w:szCs w:val="28"/>
        </w:rPr>
        <w:t xml:space="preserve"> </w:t>
      </w:r>
      <w:r w:rsidR="009002CF" w:rsidRPr="00145DF5">
        <w:rPr>
          <w:rFonts w:ascii="Century Gothic" w:hAnsi="Century Gothic" w:cs="Arial"/>
          <w:sz w:val="28"/>
          <w:szCs w:val="28"/>
        </w:rPr>
        <w:t xml:space="preserve">Município de </w:t>
      </w:r>
      <w:r w:rsidR="00534669" w:rsidRPr="00145DF5">
        <w:rPr>
          <w:rFonts w:ascii="Century Gothic" w:hAnsi="Century Gothic"/>
          <w:sz w:val="28"/>
          <w:szCs w:val="28"/>
        </w:rPr>
        <w:t>Pirajuí</w:t>
      </w:r>
      <w:r w:rsidRPr="00145DF5">
        <w:rPr>
          <w:rFonts w:ascii="Century Gothic" w:hAnsi="Century Gothic" w:cs="Arial"/>
          <w:sz w:val="28"/>
          <w:szCs w:val="28"/>
        </w:rPr>
        <w:t xml:space="preserve">, para a regularização da documentação, pagamento ou parcelamento do débito, e emissão de eventuais certidões negativas ou positivas com efeito de certidão negativa; </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b/>
          <w:bCs/>
          <w:sz w:val="28"/>
          <w:szCs w:val="28"/>
        </w:rPr>
        <w:t xml:space="preserve">g.3) </w:t>
      </w:r>
      <w:r w:rsidRPr="00145DF5">
        <w:rPr>
          <w:rFonts w:ascii="Century Gothic" w:hAnsi="Century Gothic"/>
          <w:sz w:val="28"/>
          <w:szCs w:val="28"/>
        </w:rPr>
        <w:t xml:space="preserve">A </w:t>
      </w:r>
      <w:r w:rsidR="009002CF" w:rsidRPr="00145DF5">
        <w:rPr>
          <w:rFonts w:ascii="Century Gothic" w:hAnsi="Century Gothic"/>
          <w:sz w:val="28"/>
          <w:szCs w:val="28"/>
        </w:rPr>
        <w:t>não regularização</w:t>
      </w:r>
      <w:r w:rsidRPr="00145DF5">
        <w:rPr>
          <w:rFonts w:ascii="Century Gothic" w:hAnsi="Century Gothic"/>
          <w:sz w:val="28"/>
          <w:szCs w:val="28"/>
        </w:rPr>
        <w:t xml:space="preserve"> da documentação, no prazo previsto no subitem g.2, implicará na </w:t>
      </w:r>
      <w:r w:rsidRPr="00145DF5">
        <w:rPr>
          <w:rFonts w:ascii="Century Gothic" w:hAnsi="Century Gothic"/>
          <w:b/>
          <w:bCs/>
          <w:sz w:val="28"/>
          <w:szCs w:val="28"/>
        </w:rPr>
        <w:t>decadência do direito à contratação</w:t>
      </w:r>
      <w:r w:rsidRPr="00145DF5">
        <w:rPr>
          <w:rFonts w:ascii="Century Gothic" w:hAnsi="Century Gothic"/>
          <w:sz w:val="28"/>
          <w:szCs w:val="28"/>
        </w:rPr>
        <w:t>, sem prejuízo das sanções previstas neste edital, procedendo-se à convocação dos licitantes para, em sessão pública, retomar os atos referentes ao procedimento licitatório, nos termos do art. 4º, inciso XXIII, da Lei 10.520/02.</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b/>
          <w:bCs/>
          <w:sz w:val="28"/>
          <w:szCs w:val="28"/>
        </w:rPr>
      </w:pPr>
      <w:r w:rsidRPr="00145DF5">
        <w:rPr>
          <w:rFonts w:ascii="Century Gothic" w:hAnsi="Century Gothic" w:cs="Arial"/>
          <w:b/>
          <w:bCs/>
          <w:sz w:val="28"/>
          <w:szCs w:val="28"/>
        </w:rPr>
        <w:t xml:space="preserve">5.3 </w:t>
      </w:r>
      <w:r w:rsidRPr="00145DF5">
        <w:rPr>
          <w:rFonts w:ascii="Century Gothic" w:hAnsi="Century Gothic" w:cs="Arial"/>
          <w:sz w:val="28"/>
          <w:szCs w:val="28"/>
        </w:rPr>
        <w:t xml:space="preserve">– </w:t>
      </w:r>
      <w:r w:rsidRPr="00145DF5">
        <w:rPr>
          <w:rFonts w:ascii="Century Gothic" w:hAnsi="Century Gothic" w:cs="Arial"/>
          <w:b/>
          <w:bCs/>
          <w:sz w:val="28"/>
          <w:szCs w:val="28"/>
        </w:rPr>
        <w:t>QUALIFICAÇÃO ECONÔMICO-FINANCEIRA</w:t>
      </w:r>
    </w:p>
    <w:p w:rsidR="009A5808" w:rsidRPr="00145DF5" w:rsidRDefault="009A5808" w:rsidP="00BE70D4">
      <w:pPr>
        <w:autoSpaceDE w:val="0"/>
        <w:autoSpaceDN w:val="0"/>
        <w:adjustRightInd w:val="0"/>
        <w:jc w:val="both"/>
        <w:rPr>
          <w:rFonts w:ascii="Century Gothic" w:hAnsi="Century Gothic" w:cs="Arial"/>
          <w:sz w:val="28"/>
          <w:szCs w:val="28"/>
        </w:rPr>
      </w:pPr>
    </w:p>
    <w:p w:rsidR="00C60AED" w:rsidRPr="00D1041D" w:rsidRDefault="00C60AED" w:rsidP="00C60AED">
      <w:pPr>
        <w:tabs>
          <w:tab w:val="left" w:pos="-1701"/>
        </w:tabs>
        <w:autoSpaceDE w:val="0"/>
        <w:autoSpaceDN w:val="0"/>
        <w:adjustRightInd w:val="0"/>
        <w:jc w:val="both"/>
        <w:rPr>
          <w:rFonts w:ascii="Century Gothic" w:hAnsi="Century Gothic"/>
          <w:sz w:val="28"/>
          <w:szCs w:val="28"/>
        </w:rPr>
      </w:pPr>
      <w:r w:rsidRPr="00D1041D">
        <w:rPr>
          <w:rFonts w:ascii="Century Gothic" w:hAnsi="Century Gothic" w:cs="Arial"/>
          <w:b/>
          <w:sz w:val="28"/>
          <w:szCs w:val="28"/>
        </w:rPr>
        <w:t xml:space="preserve">a) </w:t>
      </w:r>
      <w:r w:rsidRPr="00D1041D">
        <w:rPr>
          <w:rFonts w:ascii="Century Gothic" w:hAnsi="Century Gothic"/>
          <w:sz w:val="28"/>
          <w:szCs w:val="28"/>
        </w:rPr>
        <w:t>Certidão negativa de falência e concordata expedida pelo distribuidor da sede da pessoa jurídica;</w:t>
      </w:r>
    </w:p>
    <w:p w:rsidR="00C60AED" w:rsidRPr="00D1041D" w:rsidRDefault="00C60AED" w:rsidP="00C60AED">
      <w:pPr>
        <w:tabs>
          <w:tab w:val="left" w:pos="-1701"/>
        </w:tabs>
        <w:autoSpaceDE w:val="0"/>
        <w:autoSpaceDN w:val="0"/>
        <w:adjustRightInd w:val="0"/>
        <w:jc w:val="both"/>
        <w:rPr>
          <w:rFonts w:ascii="Century Gothic" w:hAnsi="Century Gothic"/>
          <w:sz w:val="28"/>
          <w:szCs w:val="28"/>
        </w:rPr>
      </w:pPr>
    </w:p>
    <w:p w:rsidR="00C60AED" w:rsidRPr="00D1041D" w:rsidRDefault="00C60AED" w:rsidP="00C60AED">
      <w:pPr>
        <w:tabs>
          <w:tab w:val="left" w:pos="-1701"/>
        </w:tabs>
        <w:autoSpaceDE w:val="0"/>
        <w:autoSpaceDN w:val="0"/>
        <w:adjustRightInd w:val="0"/>
        <w:jc w:val="both"/>
        <w:rPr>
          <w:rFonts w:ascii="Century Gothic" w:hAnsi="Century Gothic"/>
          <w:sz w:val="28"/>
          <w:szCs w:val="28"/>
        </w:rPr>
      </w:pPr>
      <w:r w:rsidRPr="00D1041D">
        <w:rPr>
          <w:rFonts w:ascii="Century Gothic" w:hAnsi="Century Gothic"/>
          <w:b/>
          <w:sz w:val="28"/>
          <w:szCs w:val="28"/>
        </w:rPr>
        <w:t>b)</w:t>
      </w:r>
      <w:r w:rsidRPr="00D1041D">
        <w:rPr>
          <w:rFonts w:ascii="Century Gothic" w:hAnsi="Century Gothic"/>
          <w:sz w:val="28"/>
          <w:szCs w:val="28"/>
        </w:rPr>
        <w:t xml:space="preserve"> Certidão negativa de recuperação judicial ou extrajudicial expedida pelo distribuidor da sede da pessoa jurídica; </w:t>
      </w:r>
    </w:p>
    <w:p w:rsidR="00C60AED" w:rsidRPr="00D1041D" w:rsidRDefault="00C60AED" w:rsidP="00C60AED">
      <w:pPr>
        <w:tabs>
          <w:tab w:val="left" w:pos="-1701"/>
        </w:tabs>
        <w:autoSpaceDE w:val="0"/>
        <w:autoSpaceDN w:val="0"/>
        <w:adjustRightInd w:val="0"/>
        <w:jc w:val="both"/>
        <w:rPr>
          <w:rFonts w:ascii="Century Gothic" w:hAnsi="Century Gothic"/>
          <w:sz w:val="28"/>
          <w:szCs w:val="28"/>
        </w:rPr>
      </w:pPr>
    </w:p>
    <w:p w:rsidR="00C60AED" w:rsidRPr="00D1041D" w:rsidRDefault="00C60AED" w:rsidP="00C60AED">
      <w:pPr>
        <w:tabs>
          <w:tab w:val="left" w:pos="-1701"/>
        </w:tabs>
        <w:autoSpaceDE w:val="0"/>
        <w:autoSpaceDN w:val="0"/>
        <w:adjustRightInd w:val="0"/>
        <w:jc w:val="both"/>
        <w:rPr>
          <w:rFonts w:ascii="Century Gothic" w:hAnsi="Century Gothic" w:cs="Arial"/>
          <w:sz w:val="28"/>
          <w:szCs w:val="28"/>
        </w:rPr>
      </w:pPr>
      <w:r w:rsidRPr="00D1041D">
        <w:rPr>
          <w:rFonts w:ascii="Century Gothic" w:hAnsi="Century Gothic"/>
          <w:b/>
          <w:sz w:val="28"/>
          <w:szCs w:val="28"/>
        </w:rPr>
        <w:t>b.1)</w:t>
      </w:r>
      <w:r w:rsidRPr="00D1041D">
        <w:rPr>
          <w:rFonts w:ascii="Century Gothic" w:hAnsi="Century Gothic"/>
          <w:sz w:val="28"/>
          <w:szCs w:val="28"/>
        </w:rPr>
        <w:t xml:space="preserve"> Nas hipóteses em que a certidão encaminhada for positiva, deve o licitante apresentar comprovante da homologação/deferimento pelo juízo competente do plano de recuperação judicial/extrajudicial em vigor.</w:t>
      </w:r>
    </w:p>
    <w:p w:rsidR="009002CF" w:rsidRDefault="009002CF" w:rsidP="00BE70D4">
      <w:pPr>
        <w:autoSpaceDE w:val="0"/>
        <w:autoSpaceDN w:val="0"/>
        <w:adjustRightInd w:val="0"/>
        <w:jc w:val="both"/>
        <w:rPr>
          <w:rFonts w:ascii="Century Gothic" w:hAnsi="Century Gothic" w:cs="Arial"/>
          <w:sz w:val="28"/>
          <w:szCs w:val="28"/>
        </w:rPr>
      </w:pPr>
    </w:p>
    <w:p w:rsidR="00C60AED" w:rsidRDefault="00C60AED" w:rsidP="00BE70D4">
      <w:pPr>
        <w:autoSpaceDE w:val="0"/>
        <w:autoSpaceDN w:val="0"/>
        <w:adjustRightInd w:val="0"/>
        <w:jc w:val="both"/>
        <w:rPr>
          <w:rFonts w:ascii="Century Gothic" w:hAnsi="Century Gothic" w:cs="Arial"/>
          <w:sz w:val="28"/>
          <w:szCs w:val="28"/>
        </w:rPr>
      </w:pPr>
    </w:p>
    <w:p w:rsidR="00C60AED" w:rsidRDefault="00C60AED" w:rsidP="00BE70D4">
      <w:pPr>
        <w:autoSpaceDE w:val="0"/>
        <w:autoSpaceDN w:val="0"/>
        <w:adjustRightInd w:val="0"/>
        <w:jc w:val="both"/>
        <w:rPr>
          <w:rFonts w:ascii="Century Gothic" w:hAnsi="Century Gothic" w:cs="Arial"/>
          <w:sz w:val="28"/>
          <w:szCs w:val="28"/>
        </w:rPr>
      </w:pPr>
    </w:p>
    <w:p w:rsidR="00C60AED" w:rsidRPr="00145DF5" w:rsidRDefault="00C60AED"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b/>
          <w:bCs/>
          <w:sz w:val="28"/>
          <w:szCs w:val="28"/>
        </w:rPr>
      </w:pPr>
      <w:r w:rsidRPr="00145DF5">
        <w:rPr>
          <w:rFonts w:ascii="Century Gothic" w:hAnsi="Century Gothic" w:cs="Arial"/>
          <w:b/>
          <w:bCs/>
          <w:sz w:val="28"/>
          <w:szCs w:val="28"/>
        </w:rPr>
        <w:lastRenderedPageBreak/>
        <w:t xml:space="preserve">5.4 </w:t>
      </w:r>
      <w:r w:rsidRPr="00145DF5">
        <w:rPr>
          <w:rFonts w:ascii="Century Gothic" w:hAnsi="Century Gothic" w:cs="Arial"/>
          <w:sz w:val="28"/>
          <w:szCs w:val="28"/>
        </w:rPr>
        <w:t xml:space="preserve">– </w:t>
      </w:r>
      <w:r w:rsidRPr="00145DF5">
        <w:rPr>
          <w:rFonts w:ascii="Century Gothic" w:hAnsi="Century Gothic" w:cs="Arial"/>
          <w:b/>
          <w:bCs/>
          <w:sz w:val="28"/>
          <w:szCs w:val="28"/>
        </w:rPr>
        <w:t>DOCUMENTAÇÃO COMPLEMENTAR</w:t>
      </w:r>
    </w:p>
    <w:p w:rsidR="009A5808" w:rsidRPr="00145DF5" w:rsidRDefault="009A5808" w:rsidP="00BE70D4">
      <w:pPr>
        <w:autoSpaceDE w:val="0"/>
        <w:autoSpaceDN w:val="0"/>
        <w:adjustRightInd w:val="0"/>
        <w:jc w:val="both"/>
        <w:rPr>
          <w:rFonts w:ascii="Century Gothic" w:hAnsi="Century Gothic" w:cs="Arial"/>
          <w:b/>
          <w:bCs/>
          <w:sz w:val="28"/>
          <w:szCs w:val="28"/>
        </w:rPr>
      </w:pPr>
    </w:p>
    <w:p w:rsidR="009A5808" w:rsidRDefault="009A5808" w:rsidP="00BE70D4">
      <w:pPr>
        <w:autoSpaceDE w:val="0"/>
        <w:autoSpaceDN w:val="0"/>
        <w:adjustRightInd w:val="0"/>
        <w:jc w:val="both"/>
        <w:rPr>
          <w:rFonts w:ascii="Century Gothic" w:hAnsi="Century Gothic"/>
          <w:sz w:val="28"/>
          <w:szCs w:val="28"/>
        </w:rPr>
      </w:pPr>
      <w:r w:rsidRPr="00145DF5">
        <w:rPr>
          <w:rFonts w:ascii="Century Gothic" w:hAnsi="Century Gothic" w:cs="Arial"/>
          <w:b/>
          <w:bCs/>
          <w:sz w:val="28"/>
          <w:szCs w:val="28"/>
        </w:rPr>
        <w:t xml:space="preserve">a) </w:t>
      </w:r>
      <w:r w:rsidRPr="00145DF5">
        <w:rPr>
          <w:rFonts w:ascii="Century Gothic" w:hAnsi="Century Gothic"/>
          <w:sz w:val="28"/>
          <w:szCs w:val="28"/>
        </w:rPr>
        <w:t>Declaração do licitante, elaborada em papel timbrado e subscrita por seu representante legal, de que se encontra em situação regular perante o Ministério do Trabalho, conforme modelo anexo ao Decreto Estadual nº 42.911, de 06.03.98 (Anexo V</w:t>
      </w:r>
      <w:r w:rsidR="00FF5CCF" w:rsidRPr="00145DF5">
        <w:rPr>
          <w:rFonts w:ascii="Century Gothic" w:hAnsi="Century Gothic"/>
          <w:sz w:val="28"/>
          <w:szCs w:val="28"/>
        </w:rPr>
        <w:t>II</w:t>
      </w:r>
      <w:r w:rsidRPr="00145DF5">
        <w:rPr>
          <w:rFonts w:ascii="Century Gothic" w:hAnsi="Century Gothic"/>
          <w:sz w:val="28"/>
          <w:szCs w:val="28"/>
        </w:rPr>
        <w:t xml:space="preserve"> deste Edital).</w:t>
      </w:r>
    </w:p>
    <w:p w:rsidR="008476C5" w:rsidRPr="00145DF5" w:rsidRDefault="008476C5"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b/>
          <w:bCs/>
          <w:sz w:val="28"/>
          <w:szCs w:val="28"/>
        </w:rPr>
      </w:pPr>
      <w:r w:rsidRPr="00145DF5">
        <w:rPr>
          <w:rFonts w:ascii="Century Gothic" w:hAnsi="Century Gothic" w:cs="Arial"/>
          <w:b/>
          <w:bCs/>
          <w:sz w:val="28"/>
          <w:szCs w:val="28"/>
        </w:rPr>
        <w:t>5.5 – DISPOSIÇÕES GERAIS SOBRE A DOCUMENTAÇÃO DE HABILITAÇÃO</w:t>
      </w:r>
    </w:p>
    <w:p w:rsidR="009A5808" w:rsidRPr="00145DF5" w:rsidRDefault="009A5808" w:rsidP="00BE70D4">
      <w:pPr>
        <w:autoSpaceDE w:val="0"/>
        <w:autoSpaceDN w:val="0"/>
        <w:adjustRightInd w:val="0"/>
        <w:jc w:val="both"/>
        <w:rPr>
          <w:rFonts w:ascii="Century Gothic" w:hAnsi="Century Gothic" w:cs="Arial"/>
          <w:b/>
          <w:bCs/>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5.5.1 </w:t>
      </w:r>
      <w:r w:rsidRPr="00145DF5">
        <w:rPr>
          <w:rFonts w:ascii="Century Gothic" w:hAnsi="Century Gothic" w:cs="Arial"/>
          <w:sz w:val="28"/>
          <w:szCs w:val="28"/>
        </w:rPr>
        <w:t>– Os documentos poderão ser apresentados no original, por qualquer processo de cópia, autenticada por cartório competente, ou mesmo cópia simples, desde que acompanhada do original para que seja autenticado pelo Pregoeiro ou por um dos membros da Equipe de Apoio no ato de sua apresentação;</w:t>
      </w:r>
    </w:p>
    <w:p w:rsidR="00625E56" w:rsidRPr="00145DF5" w:rsidRDefault="00625E56" w:rsidP="00BE70D4">
      <w:pPr>
        <w:autoSpaceDE w:val="0"/>
        <w:autoSpaceDN w:val="0"/>
        <w:adjustRightInd w:val="0"/>
        <w:jc w:val="both"/>
        <w:rPr>
          <w:rFonts w:ascii="Century Gothic" w:hAnsi="Century Gothic" w:cs="Arial"/>
          <w:b/>
          <w:bCs/>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5.5.2 </w:t>
      </w:r>
      <w:r w:rsidRPr="00145DF5">
        <w:rPr>
          <w:rFonts w:ascii="Century Gothic" w:hAnsi="Century Gothic" w:cs="Arial"/>
          <w:sz w:val="28"/>
          <w:szCs w:val="28"/>
        </w:rPr>
        <w:t xml:space="preserve">– Não serão aceitos </w:t>
      </w:r>
      <w:r w:rsidRPr="00145DF5">
        <w:rPr>
          <w:rFonts w:ascii="Century Gothic" w:hAnsi="Century Gothic" w:cs="Arial"/>
          <w:b/>
          <w:bCs/>
          <w:sz w:val="28"/>
          <w:szCs w:val="28"/>
        </w:rPr>
        <w:t xml:space="preserve">protocolos de entrega </w:t>
      </w:r>
      <w:r w:rsidRPr="00145DF5">
        <w:rPr>
          <w:rFonts w:ascii="Century Gothic" w:hAnsi="Century Gothic" w:cs="Arial"/>
          <w:sz w:val="28"/>
          <w:szCs w:val="28"/>
        </w:rPr>
        <w:t xml:space="preserve">ou </w:t>
      </w:r>
      <w:r w:rsidRPr="00145DF5">
        <w:rPr>
          <w:rFonts w:ascii="Century Gothic" w:hAnsi="Century Gothic" w:cs="Arial"/>
          <w:b/>
          <w:bCs/>
          <w:sz w:val="28"/>
          <w:szCs w:val="28"/>
        </w:rPr>
        <w:t xml:space="preserve">solicitação de documentos </w:t>
      </w:r>
      <w:r w:rsidRPr="00145DF5">
        <w:rPr>
          <w:rFonts w:ascii="Century Gothic" w:hAnsi="Century Gothic" w:cs="Arial"/>
          <w:sz w:val="28"/>
          <w:szCs w:val="28"/>
        </w:rPr>
        <w:t>em substituição aos documentos ora exigidos, inclusive no que se refere às certidões;</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5.5.3 </w:t>
      </w:r>
      <w:r w:rsidRPr="00145DF5">
        <w:rPr>
          <w:rFonts w:ascii="Century Gothic" w:hAnsi="Century Gothic" w:cs="Arial"/>
          <w:sz w:val="28"/>
          <w:szCs w:val="28"/>
        </w:rPr>
        <w:t>– Na hipótese de não constar prazo de validade das certidões apresentadas, est</w:t>
      </w:r>
      <w:r w:rsidR="009002CF" w:rsidRPr="00145DF5">
        <w:rPr>
          <w:rFonts w:ascii="Century Gothic" w:hAnsi="Century Gothic" w:cs="Arial"/>
          <w:sz w:val="28"/>
          <w:szCs w:val="28"/>
        </w:rPr>
        <w:t>e</w:t>
      </w:r>
      <w:r w:rsidRPr="00145DF5">
        <w:rPr>
          <w:rFonts w:ascii="Century Gothic" w:hAnsi="Century Gothic" w:cs="Arial"/>
          <w:sz w:val="28"/>
          <w:szCs w:val="28"/>
        </w:rPr>
        <w:t xml:space="preserve"> </w:t>
      </w:r>
      <w:r w:rsidR="009002CF" w:rsidRPr="00145DF5">
        <w:rPr>
          <w:rFonts w:ascii="Century Gothic" w:hAnsi="Century Gothic" w:cs="Arial"/>
          <w:sz w:val="28"/>
          <w:szCs w:val="28"/>
        </w:rPr>
        <w:t xml:space="preserve">Município de </w:t>
      </w:r>
      <w:r w:rsidR="00534669" w:rsidRPr="00145DF5">
        <w:rPr>
          <w:rFonts w:ascii="Century Gothic" w:hAnsi="Century Gothic"/>
          <w:sz w:val="28"/>
          <w:szCs w:val="28"/>
        </w:rPr>
        <w:t>Pirajuí</w:t>
      </w:r>
      <w:r w:rsidRPr="00145DF5">
        <w:rPr>
          <w:rFonts w:ascii="Century Gothic" w:hAnsi="Century Gothic" w:cs="Arial"/>
          <w:sz w:val="28"/>
          <w:szCs w:val="28"/>
        </w:rPr>
        <w:t xml:space="preserve"> aceitará como válidas as expedidas até </w:t>
      </w:r>
      <w:r w:rsidRPr="00145DF5">
        <w:rPr>
          <w:rFonts w:ascii="Century Gothic" w:hAnsi="Century Gothic" w:cs="Arial"/>
          <w:b/>
          <w:bCs/>
          <w:sz w:val="28"/>
          <w:szCs w:val="28"/>
        </w:rPr>
        <w:t xml:space="preserve">90 </w:t>
      </w:r>
      <w:r w:rsidRPr="00145DF5">
        <w:rPr>
          <w:rFonts w:ascii="Century Gothic" w:hAnsi="Century Gothic" w:cs="Arial"/>
          <w:sz w:val="28"/>
          <w:szCs w:val="28"/>
        </w:rPr>
        <w:t xml:space="preserve">(noventa) </w:t>
      </w:r>
      <w:r w:rsidRPr="00145DF5">
        <w:rPr>
          <w:rFonts w:ascii="Century Gothic" w:hAnsi="Century Gothic" w:cs="Arial"/>
          <w:b/>
          <w:bCs/>
          <w:sz w:val="28"/>
          <w:szCs w:val="28"/>
        </w:rPr>
        <w:t xml:space="preserve">dias </w:t>
      </w:r>
      <w:r w:rsidRPr="00145DF5">
        <w:rPr>
          <w:rFonts w:ascii="Century Gothic" w:hAnsi="Century Gothic" w:cs="Arial"/>
          <w:sz w:val="28"/>
          <w:szCs w:val="28"/>
        </w:rPr>
        <w:t>imediatamente anteriores à data de apresentação das propostas;</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5.5.4 </w:t>
      </w:r>
      <w:r w:rsidRPr="00145DF5">
        <w:rPr>
          <w:rFonts w:ascii="Century Gothic" w:hAnsi="Century Gothic" w:cs="Arial"/>
          <w:sz w:val="28"/>
          <w:szCs w:val="28"/>
        </w:rPr>
        <w:t xml:space="preserve">– Se o licitante for a </w:t>
      </w:r>
      <w:r w:rsidRPr="00145DF5">
        <w:rPr>
          <w:rFonts w:ascii="Century Gothic" w:hAnsi="Century Gothic" w:cs="Arial"/>
          <w:b/>
          <w:bCs/>
          <w:sz w:val="28"/>
          <w:szCs w:val="28"/>
        </w:rPr>
        <w:t>matriz</w:t>
      </w:r>
      <w:r w:rsidRPr="00145DF5">
        <w:rPr>
          <w:rFonts w:ascii="Century Gothic" w:hAnsi="Century Gothic" w:cs="Arial"/>
          <w:sz w:val="28"/>
          <w:szCs w:val="28"/>
        </w:rPr>
        <w:t xml:space="preserve">, todos os documentos deverão estar em nome da matriz, e se for a </w:t>
      </w:r>
      <w:r w:rsidRPr="00145DF5">
        <w:rPr>
          <w:rFonts w:ascii="Century Gothic" w:hAnsi="Century Gothic" w:cs="Arial"/>
          <w:b/>
          <w:bCs/>
          <w:sz w:val="28"/>
          <w:szCs w:val="28"/>
        </w:rPr>
        <w:t>filial</w:t>
      </w:r>
      <w:r w:rsidRPr="00145DF5">
        <w:rPr>
          <w:rFonts w:ascii="Century Gothic" w:hAnsi="Century Gothic" w:cs="Arial"/>
          <w:sz w:val="28"/>
          <w:szCs w:val="28"/>
        </w:rPr>
        <w:t>, todos os documentos deverão estar em nome da filial, exceto aqueles documentos que, pela própria natureza, comprovadamente, forem emitidos somente em nome da matriz;</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a) </w:t>
      </w:r>
      <w:r w:rsidRPr="00145DF5">
        <w:rPr>
          <w:rFonts w:ascii="Century Gothic" w:hAnsi="Century Gothic" w:cs="Arial"/>
          <w:sz w:val="28"/>
          <w:szCs w:val="28"/>
        </w:rPr>
        <w:t xml:space="preserve">Caso o licitante pretenda que um de seus estabelecimentos, que não o participante desta licitação, execute o futuro contrato, deverá apresentar toda documentação de ambos os estabelecimentos, disposta nos itens </w:t>
      </w:r>
      <w:smartTag w:uri="urn:schemas-microsoft-com:office:smarttags" w:element="metricconverter">
        <w:smartTagPr>
          <w:attr w:name="ProductID" w:val="5.1 a"/>
        </w:smartTagPr>
        <w:r w:rsidRPr="00145DF5">
          <w:rPr>
            <w:rFonts w:ascii="Century Gothic" w:hAnsi="Century Gothic" w:cs="Arial"/>
            <w:sz w:val="28"/>
            <w:szCs w:val="28"/>
          </w:rPr>
          <w:t>5.1 a</w:t>
        </w:r>
      </w:smartTag>
      <w:r w:rsidRPr="00145DF5">
        <w:rPr>
          <w:rFonts w:ascii="Century Gothic" w:hAnsi="Century Gothic" w:cs="Arial"/>
          <w:sz w:val="28"/>
          <w:szCs w:val="28"/>
        </w:rPr>
        <w:t xml:space="preserve"> 5.5;</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5.5.5 </w:t>
      </w:r>
      <w:r w:rsidRPr="00145DF5">
        <w:rPr>
          <w:rFonts w:ascii="Century Gothic" w:hAnsi="Century Gothic" w:cs="Arial"/>
          <w:sz w:val="28"/>
          <w:szCs w:val="28"/>
        </w:rPr>
        <w:t xml:space="preserve">– Se algum documento apresentar falha não sanável na sessão acarretará a </w:t>
      </w:r>
      <w:r w:rsidRPr="00145DF5">
        <w:rPr>
          <w:rFonts w:ascii="Century Gothic" w:hAnsi="Century Gothic" w:cs="Arial"/>
          <w:b/>
          <w:bCs/>
          <w:sz w:val="28"/>
          <w:szCs w:val="28"/>
        </w:rPr>
        <w:t xml:space="preserve">inabilitação </w:t>
      </w:r>
      <w:r w:rsidRPr="00145DF5">
        <w:rPr>
          <w:rFonts w:ascii="Century Gothic" w:hAnsi="Century Gothic" w:cs="Arial"/>
          <w:sz w:val="28"/>
          <w:szCs w:val="28"/>
        </w:rPr>
        <w:t>do licitante;</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lastRenderedPageBreak/>
        <w:t xml:space="preserve">5.5.6 </w:t>
      </w:r>
      <w:r w:rsidRPr="00145DF5">
        <w:rPr>
          <w:rFonts w:ascii="Century Gothic" w:hAnsi="Century Gothic" w:cs="Arial"/>
          <w:sz w:val="28"/>
          <w:szCs w:val="28"/>
        </w:rPr>
        <w:t xml:space="preserve">– O Pregoeiro ou a Equipe de Apoio diligenciará efetuando consulta direta na internet nos </w:t>
      </w:r>
      <w:r w:rsidRPr="00145DF5">
        <w:rPr>
          <w:rFonts w:ascii="Century Gothic" w:hAnsi="Century Gothic" w:cs="Arial"/>
          <w:b/>
          <w:bCs/>
          <w:i/>
          <w:iCs/>
          <w:sz w:val="28"/>
          <w:szCs w:val="28"/>
        </w:rPr>
        <w:t xml:space="preserve">sites </w:t>
      </w:r>
      <w:r w:rsidRPr="00145DF5">
        <w:rPr>
          <w:rFonts w:ascii="Century Gothic" w:hAnsi="Century Gothic" w:cs="Arial"/>
          <w:sz w:val="28"/>
          <w:szCs w:val="28"/>
        </w:rPr>
        <w:t>dos órgãos expedidores para verificar a veracidade dos documentos obtidos por este meio eletrônico.</w:t>
      </w:r>
    </w:p>
    <w:p w:rsidR="00625E56" w:rsidRPr="00145DF5" w:rsidRDefault="00625E56" w:rsidP="00BE70D4">
      <w:pPr>
        <w:autoSpaceDE w:val="0"/>
        <w:autoSpaceDN w:val="0"/>
        <w:adjustRightInd w:val="0"/>
        <w:jc w:val="both"/>
        <w:rPr>
          <w:rFonts w:ascii="Century Gothic" w:hAnsi="Century Gothic" w:cs="Arial"/>
          <w:sz w:val="28"/>
          <w:szCs w:val="28"/>
        </w:rPr>
      </w:pPr>
    </w:p>
    <w:p w:rsidR="00C60AED" w:rsidRPr="00D1041D" w:rsidRDefault="00C60AED" w:rsidP="00C60AED">
      <w:pPr>
        <w:tabs>
          <w:tab w:val="left" w:pos="-1701"/>
        </w:tabs>
        <w:autoSpaceDE w:val="0"/>
        <w:autoSpaceDN w:val="0"/>
        <w:adjustRightInd w:val="0"/>
        <w:ind w:right="-1"/>
        <w:jc w:val="both"/>
        <w:outlineLvl w:val="0"/>
        <w:rPr>
          <w:rFonts w:ascii="Century Gothic" w:hAnsi="Century Gothic" w:cs="Arial"/>
          <w:b/>
          <w:bCs/>
          <w:sz w:val="28"/>
          <w:szCs w:val="28"/>
        </w:rPr>
      </w:pPr>
      <w:r w:rsidRPr="00D1041D">
        <w:rPr>
          <w:rFonts w:ascii="Century Gothic" w:hAnsi="Century Gothic" w:cs="Arial"/>
          <w:b/>
          <w:bCs/>
          <w:sz w:val="28"/>
          <w:szCs w:val="28"/>
        </w:rPr>
        <w:t>6 – PROCEDIMENTO E JULGAMENTO DAS PROPOSTAS</w:t>
      </w:r>
    </w:p>
    <w:p w:rsidR="00C60AED" w:rsidRPr="00D1041D" w:rsidRDefault="00C60AED" w:rsidP="00C60AED">
      <w:pPr>
        <w:tabs>
          <w:tab w:val="left" w:pos="-1701"/>
        </w:tabs>
        <w:autoSpaceDE w:val="0"/>
        <w:autoSpaceDN w:val="0"/>
        <w:adjustRightInd w:val="0"/>
        <w:ind w:right="-1"/>
        <w:jc w:val="both"/>
        <w:rPr>
          <w:rFonts w:ascii="Century Gothic" w:hAnsi="Century Gothic" w:cs="Arial"/>
          <w:b/>
          <w:bCs/>
          <w:sz w:val="28"/>
          <w:szCs w:val="28"/>
        </w:rPr>
      </w:pPr>
    </w:p>
    <w:p w:rsidR="00C60AED" w:rsidRPr="00D1041D" w:rsidRDefault="00C60AED" w:rsidP="00C60AED">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t xml:space="preserve">6.1 </w:t>
      </w:r>
      <w:r w:rsidRPr="00D1041D">
        <w:rPr>
          <w:rFonts w:ascii="Century Gothic" w:hAnsi="Century Gothic" w:cs="Arial"/>
          <w:sz w:val="28"/>
          <w:szCs w:val="28"/>
        </w:rPr>
        <w:t>– No horário e local indicados neste Edital será aberta a sessão pública, iniciando-se pela fase de credenciamento dos licitantes interessados em participar deste certame, ocasião em que serão apresentados os documentos indicados no item 2.1.</w:t>
      </w:r>
    </w:p>
    <w:p w:rsidR="00C60AED" w:rsidRPr="00D1041D" w:rsidRDefault="00C60AED" w:rsidP="00C60AED">
      <w:pPr>
        <w:tabs>
          <w:tab w:val="left" w:pos="-1701"/>
        </w:tabs>
        <w:autoSpaceDE w:val="0"/>
        <w:autoSpaceDN w:val="0"/>
        <w:adjustRightInd w:val="0"/>
        <w:ind w:right="-1"/>
        <w:jc w:val="both"/>
        <w:rPr>
          <w:rFonts w:ascii="Century Gothic" w:hAnsi="Century Gothic" w:cs="Arial"/>
          <w:sz w:val="28"/>
          <w:szCs w:val="28"/>
        </w:rPr>
      </w:pPr>
    </w:p>
    <w:p w:rsidR="00C60AED" w:rsidRPr="00D1041D" w:rsidRDefault="00C60AED" w:rsidP="00C60AED">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t xml:space="preserve">6.2 </w:t>
      </w:r>
      <w:r w:rsidRPr="00D1041D">
        <w:rPr>
          <w:rFonts w:ascii="Century Gothic" w:hAnsi="Century Gothic" w:cs="Arial"/>
          <w:sz w:val="28"/>
          <w:szCs w:val="28"/>
        </w:rPr>
        <w:t xml:space="preserve">– Encerrada a fase de credenciamento, os licitantes entregarão ao Pregoeiro os </w:t>
      </w:r>
      <w:r w:rsidRPr="00D1041D">
        <w:rPr>
          <w:rFonts w:ascii="Century Gothic" w:hAnsi="Century Gothic" w:cs="Arial"/>
          <w:b/>
          <w:bCs/>
          <w:sz w:val="28"/>
          <w:szCs w:val="28"/>
        </w:rPr>
        <w:t xml:space="preserve">Envelopes nº 01 </w:t>
      </w:r>
      <w:r w:rsidRPr="00D1041D">
        <w:rPr>
          <w:rFonts w:ascii="Century Gothic" w:hAnsi="Century Gothic" w:cs="Arial"/>
          <w:sz w:val="28"/>
          <w:szCs w:val="28"/>
        </w:rPr>
        <w:t xml:space="preserve">e </w:t>
      </w:r>
      <w:r w:rsidRPr="00D1041D">
        <w:rPr>
          <w:rFonts w:ascii="Century Gothic" w:hAnsi="Century Gothic" w:cs="Arial"/>
          <w:b/>
          <w:bCs/>
          <w:sz w:val="28"/>
          <w:szCs w:val="28"/>
        </w:rPr>
        <w:t>nº 02</w:t>
      </w:r>
      <w:r w:rsidRPr="00D1041D">
        <w:rPr>
          <w:rFonts w:ascii="Century Gothic" w:hAnsi="Century Gothic" w:cs="Arial"/>
          <w:sz w:val="28"/>
          <w:szCs w:val="28"/>
        </w:rPr>
        <w:t>, contendo, cada qual, separadamente, a Proposta de Preços e a Documentação de Habilitação.</w:t>
      </w:r>
    </w:p>
    <w:p w:rsidR="00C60AED" w:rsidRPr="00D1041D" w:rsidRDefault="00C60AED" w:rsidP="00C60AED">
      <w:pPr>
        <w:tabs>
          <w:tab w:val="left" w:pos="-1701"/>
        </w:tabs>
        <w:autoSpaceDE w:val="0"/>
        <w:autoSpaceDN w:val="0"/>
        <w:adjustRightInd w:val="0"/>
        <w:ind w:right="-1"/>
        <w:jc w:val="both"/>
        <w:rPr>
          <w:rFonts w:ascii="Century Gothic" w:hAnsi="Century Gothic" w:cs="Arial"/>
          <w:sz w:val="28"/>
          <w:szCs w:val="28"/>
        </w:rPr>
      </w:pPr>
    </w:p>
    <w:p w:rsidR="00C60AED" w:rsidRPr="00D1041D" w:rsidRDefault="00C60AED" w:rsidP="00C60AED">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t xml:space="preserve">6.3 </w:t>
      </w:r>
      <w:r w:rsidRPr="00D1041D">
        <w:rPr>
          <w:rFonts w:ascii="Century Gothic" w:hAnsi="Century Gothic" w:cs="Arial"/>
          <w:sz w:val="28"/>
          <w:szCs w:val="28"/>
        </w:rPr>
        <w:t xml:space="preserve">– O julgamento será feito pelo critério de </w:t>
      </w:r>
      <w:r w:rsidRPr="00D1041D">
        <w:rPr>
          <w:rFonts w:ascii="Century Gothic" w:hAnsi="Century Gothic" w:cs="Arial"/>
          <w:b/>
          <w:bCs/>
          <w:sz w:val="28"/>
          <w:szCs w:val="28"/>
        </w:rPr>
        <w:t>menor preço por item</w:t>
      </w:r>
      <w:r w:rsidRPr="00D1041D">
        <w:rPr>
          <w:rFonts w:ascii="Century Gothic" w:hAnsi="Century Gothic" w:cs="Arial"/>
          <w:sz w:val="28"/>
          <w:szCs w:val="28"/>
        </w:rPr>
        <w:t>, observadas as especificações técnicas e parâmetros mínimos definidos neste Edital.</w:t>
      </w:r>
    </w:p>
    <w:p w:rsidR="00C60AED" w:rsidRPr="00D1041D" w:rsidRDefault="00C60AED" w:rsidP="00C60AED">
      <w:pPr>
        <w:tabs>
          <w:tab w:val="left" w:pos="-1701"/>
        </w:tabs>
        <w:autoSpaceDE w:val="0"/>
        <w:autoSpaceDN w:val="0"/>
        <w:adjustRightInd w:val="0"/>
        <w:ind w:right="-1"/>
        <w:jc w:val="both"/>
        <w:rPr>
          <w:rFonts w:ascii="Century Gothic" w:hAnsi="Century Gothic" w:cs="Arial"/>
          <w:sz w:val="28"/>
          <w:szCs w:val="28"/>
        </w:rPr>
      </w:pPr>
    </w:p>
    <w:p w:rsidR="00C60AED" w:rsidRPr="00D1041D" w:rsidRDefault="00C60AED" w:rsidP="00C60AED">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t xml:space="preserve">6.3.1 </w:t>
      </w:r>
      <w:r w:rsidRPr="00D1041D">
        <w:rPr>
          <w:rFonts w:ascii="Century Gothic" w:hAnsi="Century Gothic" w:cs="Arial"/>
          <w:sz w:val="28"/>
          <w:szCs w:val="28"/>
        </w:rPr>
        <w:t xml:space="preserve">– Havendo divergência entre os valores, prevalecerá o </w:t>
      </w:r>
      <w:r w:rsidRPr="00D1041D">
        <w:rPr>
          <w:rFonts w:ascii="Century Gothic" w:hAnsi="Century Gothic" w:cs="Arial"/>
          <w:b/>
          <w:bCs/>
          <w:sz w:val="28"/>
          <w:szCs w:val="28"/>
        </w:rPr>
        <w:t>preço total por extenso</w:t>
      </w:r>
      <w:r w:rsidRPr="00D1041D">
        <w:rPr>
          <w:rFonts w:ascii="Century Gothic" w:hAnsi="Century Gothic" w:cs="Arial"/>
          <w:sz w:val="28"/>
          <w:szCs w:val="28"/>
        </w:rPr>
        <w:t xml:space="preserve"> </w:t>
      </w:r>
      <w:r w:rsidRPr="00D1041D">
        <w:rPr>
          <w:rFonts w:ascii="Century Gothic" w:hAnsi="Century Gothic"/>
          <w:sz w:val="28"/>
          <w:szCs w:val="28"/>
        </w:rPr>
        <w:t>e as correções efetuadas serão consideradas para apuração do valor da proposta.</w:t>
      </w:r>
    </w:p>
    <w:p w:rsidR="00C60AED" w:rsidRPr="00D1041D" w:rsidRDefault="00C60AED" w:rsidP="00C60AED">
      <w:pPr>
        <w:tabs>
          <w:tab w:val="left" w:pos="-1701"/>
        </w:tabs>
        <w:autoSpaceDE w:val="0"/>
        <w:autoSpaceDN w:val="0"/>
        <w:adjustRightInd w:val="0"/>
        <w:ind w:right="-1"/>
        <w:jc w:val="both"/>
        <w:rPr>
          <w:rFonts w:ascii="Century Gothic" w:hAnsi="Century Gothic" w:cs="Arial"/>
          <w:sz w:val="28"/>
          <w:szCs w:val="28"/>
        </w:rPr>
      </w:pPr>
    </w:p>
    <w:p w:rsidR="00C60AED" w:rsidRPr="00D1041D" w:rsidRDefault="00C60AED" w:rsidP="00C60AED">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t xml:space="preserve">6.4 </w:t>
      </w:r>
      <w:r w:rsidRPr="00D1041D">
        <w:rPr>
          <w:rFonts w:ascii="Century Gothic" w:hAnsi="Century Gothic" w:cs="Arial"/>
          <w:sz w:val="28"/>
          <w:szCs w:val="28"/>
        </w:rPr>
        <w:t xml:space="preserve">– A análise das propostas pelo Pregoeiro visará ao atendimento das condições estabelecidas neste Edital e seus anexos, sendo </w:t>
      </w:r>
      <w:r w:rsidRPr="00D1041D">
        <w:rPr>
          <w:rFonts w:ascii="Century Gothic" w:hAnsi="Century Gothic" w:cs="Arial"/>
          <w:b/>
          <w:bCs/>
          <w:sz w:val="28"/>
          <w:szCs w:val="28"/>
        </w:rPr>
        <w:t xml:space="preserve">desclassificadas </w:t>
      </w:r>
      <w:r w:rsidRPr="00D1041D">
        <w:rPr>
          <w:rFonts w:ascii="Century Gothic" w:hAnsi="Century Gothic" w:cs="Arial"/>
          <w:sz w:val="28"/>
          <w:szCs w:val="28"/>
        </w:rPr>
        <w:t>as propostas:</w:t>
      </w:r>
    </w:p>
    <w:p w:rsidR="00C60AED" w:rsidRPr="00D1041D" w:rsidRDefault="00C60AED" w:rsidP="00C60AED">
      <w:pPr>
        <w:tabs>
          <w:tab w:val="left" w:pos="-1701"/>
        </w:tabs>
        <w:autoSpaceDE w:val="0"/>
        <w:autoSpaceDN w:val="0"/>
        <w:adjustRightInd w:val="0"/>
        <w:ind w:right="-1"/>
        <w:jc w:val="both"/>
        <w:rPr>
          <w:rFonts w:ascii="Century Gothic" w:hAnsi="Century Gothic" w:cs="Arial"/>
          <w:b/>
          <w:bCs/>
          <w:sz w:val="28"/>
          <w:szCs w:val="28"/>
        </w:rPr>
      </w:pPr>
    </w:p>
    <w:p w:rsidR="00C60AED" w:rsidRPr="00D1041D" w:rsidRDefault="00C60AED" w:rsidP="00C60AED">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t xml:space="preserve">6.4.1 </w:t>
      </w:r>
      <w:r w:rsidRPr="00D1041D">
        <w:rPr>
          <w:rFonts w:ascii="Century Gothic" w:hAnsi="Century Gothic" w:cs="Arial"/>
          <w:sz w:val="28"/>
          <w:szCs w:val="28"/>
        </w:rPr>
        <w:t>– Cujo objeto não atenda às especificações, prazos e condições fixados neste Edital;</w:t>
      </w:r>
    </w:p>
    <w:p w:rsidR="00C60AED" w:rsidRPr="00D1041D" w:rsidRDefault="00C60AED" w:rsidP="00C60AED">
      <w:pPr>
        <w:tabs>
          <w:tab w:val="left" w:pos="-1701"/>
        </w:tabs>
        <w:autoSpaceDE w:val="0"/>
        <w:autoSpaceDN w:val="0"/>
        <w:adjustRightInd w:val="0"/>
        <w:ind w:right="-1"/>
        <w:jc w:val="both"/>
        <w:rPr>
          <w:rFonts w:ascii="Century Gothic" w:hAnsi="Century Gothic" w:cs="Arial"/>
          <w:sz w:val="28"/>
          <w:szCs w:val="28"/>
        </w:rPr>
      </w:pPr>
    </w:p>
    <w:p w:rsidR="00C60AED" w:rsidRPr="00D1041D" w:rsidRDefault="00C60AED" w:rsidP="00C60AED">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t xml:space="preserve">6.4.2 </w:t>
      </w:r>
      <w:r w:rsidRPr="00D1041D">
        <w:rPr>
          <w:rFonts w:ascii="Century Gothic" w:hAnsi="Century Gothic" w:cs="Arial"/>
          <w:sz w:val="28"/>
          <w:szCs w:val="28"/>
        </w:rPr>
        <w:t>– Que apresentem preço ou vantagem baseados exclusivamente em propostas ofertadas pelos demais licitantes;</w:t>
      </w:r>
    </w:p>
    <w:p w:rsidR="00C60AED" w:rsidRPr="00D1041D" w:rsidRDefault="00C60AED" w:rsidP="00C60AED">
      <w:pPr>
        <w:tabs>
          <w:tab w:val="left" w:pos="-1701"/>
        </w:tabs>
        <w:autoSpaceDE w:val="0"/>
        <w:autoSpaceDN w:val="0"/>
        <w:adjustRightInd w:val="0"/>
        <w:ind w:right="-1"/>
        <w:jc w:val="both"/>
        <w:rPr>
          <w:rFonts w:ascii="Century Gothic" w:hAnsi="Century Gothic" w:cs="Arial"/>
          <w:b/>
          <w:bCs/>
          <w:sz w:val="28"/>
          <w:szCs w:val="28"/>
        </w:rPr>
      </w:pPr>
    </w:p>
    <w:p w:rsidR="00C60AED" w:rsidRPr="00D1041D" w:rsidRDefault="00C60AED" w:rsidP="00C60AED">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t xml:space="preserve">6.4.3 </w:t>
      </w:r>
      <w:r w:rsidRPr="00D1041D">
        <w:rPr>
          <w:rFonts w:ascii="Century Gothic" w:hAnsi="Century Gothic" w:cs="Arial"/>
          <w:sz w:val="28"/>
          <w:szCs w:val="28"/>
        </w:rPr>
        <w:t>– Que contiverem cotação de objeto diverso daquele constante neste Edital.</w:t>
      </w:r>
    </w:p>
    <w:p w:rsidR="00C60AED" w:rsidRPr="00D1041D" w:rsidRDefault="00C60AED" w:rsidP="00C60AED">
      <w:pPr>
        <w:tabs>
          <w:tab w:val="left" w:pos="-1701"/>
        </w:tabs>
        <w:autoSpaceDE w:val="0"/>
        <w:autoSpaceDN w:val="0"/>
        <w:adjustRightInd w:val="0"/>
        <w:ind w:right="-1"/>
        <w:jc w:val="both"/>
        <w:rPr>
          <w:rFonts w:ascii="Century Gothic" w:hAnsi="Century Gothic" w:cs="Arial"/>
          <w:b/>
          <w:bCs/>
          <w:sz w:val="28"/>
          <w:szCs w:val="28"/>
        </w:rPr>
      </w:pPr>
    </w:p>
    <w:p w:rsidR="00C60AED" w:rsidRPr="00D1041D" w:rsidRDefault="00C60AED" w:rsidP="00C60AED">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lastRenderedPageBreak/>
        <w:t xml:space="preserve">6.5 </w:t>
      </w:r>
      <w:r w:rsidRPr="00D1041D">
        <w:rPr>
          <w:rFonts w:ascii="Century Gothic" w:hAnsi="Century Gothic" w:cs="Arial"/>
          <w:sz w:val="28"/>
          <w:szCs w:val="28"/>
        </w:rPr>
        <w:t>– Na hipótese de desclassificação de todas as propostas, o Pregoeiro dará por encerrado o certame, lavrando-se ata a respeito.</w:t>
      </w:r>
    </w:p>
    <w:p w:rsidR="00C60AED" w:rsidRPr="00D1041D" w:rsidRDefault="00C60AED" w:rsidP="00C60AED">
      <w:pPr>
        <w:tabs>
          <w:tab w:val="left" w:pos="-1701"/>
        </w:tabs>
        <w:autoSpaceDE w:val="0"/>
        <w:autoSpaceDN w:val="0"/>
        <w:adjustRightInd w:val="0"/>
        <w:ind w:right="-1"/>
        <w:jc w:val="both"/>
        <w:rPr>
          <w:rFonts w:ascii="Century Gothic" w:hAnsi="Century Gothic" w:cs="Arial"/>
          <w:sz w:val="28"/>
          <w:szCs w:val="28"/>
        </w:rPr>
      </w:pPr>
    </w:p>
    <w:p w:rsidR="00C60AED" w:rsidRPr="00D1041D" w:rsidRDefault="00C60AED" w:rsidP="00C60AED">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t xml:space="preserve">6.6 </w:t>
      </w:r>
      <w:r w:rsidRPr="00D1041D">
        <w:rPr>
          <w:rFonts w:ascii="Century Gothic" w:hAnsi="Century Gothic" w:cs="Arial"/>
          <w:sz w:val="28"/>
          <w:szCs w:val="28"/>
        </w:rPr>
        <w:t xml:space="preserve">– As propostas classificadas serão selecionadas para a </w:t>
      </w:r>
      <w:r w:rsidRPr="00D1041D">
        <w:rPr>
          <w:rFonts w:ascii="Century Gothic" w:hAnsi="Century Gothic" w:cs="Arial"/>
          <w:b/>
          <w:bCs/>
          <w:sz w:val="28"/>
          <w:szCs w:val="28"/>
        </w:rPr>
        <w:t>etapa de lances</w:t>
      </w:r>
      <w:r w:rsidRPr="00D1041D">
        <w:rPr>
          <w:rFonts w:ascii="Century Gothic" w:hAnsi="Century Gothic" w:cs="Arial"/>
          <w:sz w:val="28"/>
          <w:szCs w:val="28"/>
        </w:rPr>
        <w:t>, com observância dos seguintes critérios:</w:t>
      </w:r>
    </w:p>
    <w:p w:rsidR="00C60AED" w:rsidRPr="00D1041D" w:rsidRDefault="00C60AED" w:rsidP="00C60AED">
      <w:pPr>
        <w:tabs>
          <w:tab w:val="left" w:pos="-1701"/>
        </w:tabs>
        <w:autoSpaceDE w:val="0"/>
        <w:autoSpaceDN w:val="0"/>
        <w:adjustRightInd w:val="0"/>
        <w:ind w:right="-1"/>
        <w:jc w:val="both"/>
        <w:rPr>
          <w:rFonts w:ascii="Century Gothic" w:hAnsi="Century Gothic" w:cs="Arial"/>
          <w:b/>
          <w:bCs/>
          <w:sz w:val="28"/>
          <w:szCs w:val="28"/>
        </w:rPr>
      </w:pPr>
    </w:p>
    <w:p w:rsidR="00C60AED" w:rsidRPr="00D1041D" w:rsidRDefault="00C60AED" w:rsidP="00C60AED">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t xml:space="preserve">6.6.1 </w:t>
      </w:r>
      <w:r w:rsidRPr="00D1041D">
        <w:rPr>
          <w:rFonts w:ascii="Century Gothic" w:hAnsi="Century Gothic" w:cs="Arial"/>
          <w:sz w:val="28"/>
          <w:szCs w:val="28"/>
        </w:rPr>
        <w:t xml:space="preserve">– Seleção da proposta de menor preço por item e das demais com preços até </w:t>
      </w:r>
      <w:r w:rsidRPr="00D1041D">
        <w:rPr>
          <w:rFonts w:ascii="Century Gothic" w:hAnsi="Century Gothic" w:cs="Arial"/>
          <w:b/>
          <w:bCs/>
          <w:sz w:val="28"/>
          <w:szCs w:val="28"/>
        </w:rPr>
        <w:t xml:space="preserve">10% </w:t>
      </w:r>
      <w:r w:rsidRPr="00D1041D">
        <w:rPr>
          <w:rFonts w:ascii="Century Gothic" w:hAnsi="Century Gothic" w:cs="Arial"/>
          <w:sz w:val="28"/>
          <w:szCs w:val="28"/>
        </w:rPr>
        <w:t>(dez por cento) superiores àquela;</w:t>
      </w:r>
    </w:p>
    <w:p w:rsidR="00C60AED" w:rsidRPr="00D1041D" w:rsidRDefault="00C60AED" w:rsidP="00C60AED">
      <w:pPr>
        <w:tabs>
          <w:tab w:val="left" w:pos="-1701"/>
        </w:tabs>
        <w:autoSpaceDE w:val="0"/>
        <w:autoSpaceDN w:val="0"/>
        <w:adjustRightInd w:val="0"/>
        <w:ind w:right="-1"/>
        <w:jc w:val="both"/>
        <w:rPr>
          <w:rFonts w:ascii="Century Gothic" w:hAnsi="Century Gothic" w:cs="Arial"/>
          <w:sz w:val="28"/>
          <w:szCs w:val="28"/>
        </w:rPr>
      </w:pPr>
    </w:p>
    <w:p w:rsidR="00C60AED" w:rsidRPr="00D1041D" w:rsidRDefault="00C60AED" w:rsidP="00C60AED">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t xml:space="preserve">6.6.2 </w:t>
      </w:r>
      <w:r w:rsidRPr="00D1041D">
        <w:rPr>
          <w:rFonts w:ascii="Century Gothic" w:hAnsi="Century Gothic" w:cs="Arial"/>
          <w:sz w:val="28"/>
          <w:szCs w:val="28"/>
        </w:rPr>
        <w:t xml:space="preserve">– Não havendo pelo menos </w:t>
      </w:r>
      <w:r w:rsidRPr="00D1041D">
        <w:rPr>
          <w:rFonts w:ascii="Century Gothic" w:hAnsi="Century Gothic" w:cs="Arial"/>
          <w:b/>
          <w:bCs/>
          <w:sz w:val="28"/>
          <w:szCs w:val="28"/>
        </w:rPr>
        <w:t xml:space="preserve">três </w:t>
      </w:r>
      <w:r w:rsidRPr="00D1041D">
        <w:rPr>
          <w:rFonts w:ascii="Century Gothic" w:hAnsi="Century Gothic" w:cs="Arial"/>
          <w:sz w:val="28"/>
          <w:szCs w:val="28"/>
        </w:rPr>
        <w:t xml:space="preserve">propostas nas condições definidas no item anterior, serão selecionadas as propostas que apresentarem os menores preços, até o máximo de </w:t>
      </w:r>
      <w:r w:rsidRPr="00D1041D">
        <w:rPr>
          <w:rFonts w:ascii="Century Gothic" w:hAnsi="Century Gothic" w:cs="Arial"/>
          <w:b/>
          <w:bCs/>
          <w:sz w:val="28"/>
          <w:szCs w:val="28"/>
        </w:rPr>
        <w:t>três</w:t>
      </w:r>
      <w:r w:rsidRPr="00D1041D">
        <w:rPr>
          <w:rFonts w:ascii="Century Gothic" w:hAnsi="Century Gothic" w:cs="Arial"/>
          <w:sz w:val="28"/>
          <w:szCs w:val="28"/>
        </w:rPr>
        <w:t>. No caso de empate das propostas, serão admitidas todas estas, independentemente do número de licitantes;</w:t>
      </w:r>
    </w:p>
    <w:p w:rsidR="00C60AED" w:rsidRPr="00D1041D" w:rsidRDefault="00C60AED" w:rsidP="00C60AED">
      <w:pPr>
        <w:tabs>
          <w:tab w:val="left" w:pos="-1701"/>
        </w:tabs>
        <w:autoSpaceDE w:val="0"/>
        <w:autoSpaceDN w:val="0"/>
        <w:adjustRightInd w:val="0"/>
        <w:ind w:right="-1"/>
        <w:jc w:val="both"/>
        <w:rPr>
          <w:rFonts w:ascii="Century Gothic" w:hAnsi="Century Gothic" w:cs="Arial"/>
          <w:b/>
          <w:bCs/>
          <w:sz w:val="28"/>
          <w:szCs w:val="28"/>
        </w:rPr>
      </w:pPr>
    </w:p>
    <w:p w:rsidR="00C60AED" w:rsidRPr="00D1041D" w:rsidRDefault="00C60AED" w:rsidP="00C60AED">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t xml:space="preserve">6.6.3 </w:t>
      </w:r>
      <w:r w:rsidRPr="00D1041D">
        <w:rPr>
          <w:rFonts w:ascii="Century Gothic" w:hAnsi="Century Gothic" w:cs="Arial"/>
          <w:sz w:val="28"/>
          <w:szCs w:val="28"/>
        </w:rPr>
        <w:t xml:space="preserve">– O Pregoeiro convidará individualmente os autores das propostas selecionadas a formular lances de forma verbal e seqüencial, a partir do autor da proposta de maior preço e, os demais, em ordem decrescente de valor, decidindo-se por meio de </w:t>
      </w:r>
      <w:r w:rsidRPr="00D1041D">
        <w:rPr>
          <w:rFonts w:ascii="Century Gothic" w:hAnsi="Century Gothic" w:cs="Arial"/>
          <w:b/>
          <w:bCs/>
          <w:sz w:val="28"/>
          <w:szCs w:val="28"/>
        </w:rPr>
        <w:t xml:space="preserve">sorteio </w:t>
      </w:r>
      <w:r w:rsidRPr="00D1041D">
        <w:rPr>
          <w:rFonts w:ascii="Century Gothic" w:hAnsi="Century Gothic" w:cs="Arial"/>
          <w:sz w:val="28"/>
          <w:szCs w:val="28"/>
        </w:rPr>
        <w:t>no caso de empate de preços;</w:t>
      </w:r>
    </w:p>
    <w:p w:rsidR="00C60AED" w:rsidRPr="00D1041D" w:rsidRDefault="00C60AED" w:rsidP="00C60AED">
      <w:pPr>
        <w:tabs>
          <w:tab w:val="left" w:pos="-1701"/>
        </w:tabs>
        <w:autoSpaceDE w:val="0"/>
        <w:autoSpaceDN w:val="0"/>
        <w:adjustRightInd w:val="0"/>
        <w:ind w:right="-1"/>
        <w:jc w:val="both"/>
        <w:rPr>
          <w:rFonts w:ascii="Century Gothic" w:hAnsi="Century Gothic" w:cs="Arial"/>
          <w:sz w:val="28"/>
          <w:szCs w:val="28"/>
        </w:rPr>
      </w:pPr>
    </w:p>
    <w:p w:rsidR="00C60AED" w:rsidRPr="00D1041D" w:rsidRDefault="00C60AED" w:rsidP="00C60AED">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t xml:space="preserve">a) </w:t>
      </w:r>
      <w:r w:rsidRPr="00D1041D">
        <w:rPr>
          <w:rFonts w:ascii="Century Gothic" w:hAnsi="Century Gothic" w:cs="Arial"/>
          <w:sz w:val="28"/>
          <w:szCs w:val="28"/>
        </w:rPr>
        <w:t>O licitante sorteado em primeiro lugar escolherá a posição na ordenação de lances em relação aos demais empatados, e assim sucessivamente até a definição completa da ordem de lances.</w:t>
      </w:r>
    </w:p>
    <w:p w:rsidR="00C60AED" w:rsidRPr="00D1041D" w:rsidRDefault="00C60AED" w:rsidP="00C60AED">
      <w:pPr>
        <w:tabs>
          <w:tab w:val="left" w:pos="-1701"/>
          <w:tab w:val="left" w:pos="3445"/>
        </w:tabs>
        <w:autoSpaceDE w:val="0"/>
        <w:autoSpaceDN w:val="0"/>
        <w:adjustRightInd w:val="0"/>
        <w:ind w:right="-1"/>
        <w:jc w:val="both"/>
        <w:rPr>
          <w:rFonts w:ascii="Century Gothic" w:hAnsi="Century Gothic" w:cs="Arial"/>
          <w:sz w:val="28"/>
          <w:szCs w:val="28"/>
        </w:rPr>
      </w:pPr>
      <w:r w:rsidRPr="00D1041D">
        <w:rPr>
          <w:rFonts w:ascii="Century Gothic" w:hAnsi="Century Gothic" w:cs="Arial"/>
          <w:sz w:val="28"/>
          <w:szCs w:val="28"/>
        </w:rPr>
        <w:tab/>
      </w:r>
    </w:p>
    <w:p w:rsidR="00C60AED" w:rsidRPr="00D1041D" w:rsidRDefault="00C60AED" w:rsidP="00C60AED">
      <w:pPr>
        <w:tabs>
          <w:tab w:val="left" w:pos="-1701"/>
        </w:tabs>
        <w:autoSpaceDE w:val="0"/>
        <w:autoSpaceDN w:val="0"/>
        <w:adjustRightInd w:val="0"/>
        <w:ind w:right="-1"/>
        <w:jc w:val="both"/>
        <w:rPr>
          <w:rFonts w:ascii="Century Gothic" w:hAnsi="Century Gothic"/>
          <w:sz w:val="28"/>
          <w:szCs w:val="28"/>
        </w:rPr>
      </w:pPr>
      <w:r w:rsidRPr="00D1041D">
        <w:rPr>
          <w:rFonts w:ascii="Century Gothic" w:hAnsi="Century Gothic"/>
          <w:b/>
          <w:sz w:val="28"/>
          <w:szCs w:val="28"/>
        </w:rPr>
        <w:t>6.7 –</w:t>
      </w:r>
      <w:r w:rsidRPr="00D1041D">
        <w:rPr>
          <w:rFonts w:ascii="Century Gothic" w:hAnsi="Century Gothic"/>
          <w:sz w:val="28"/>
          <w:szCs w:val="28"/>
        </w:rPr>
        <w:t xml:space="preserve"> Os lances deverão ser formulados em valores distintos e decrescentes, inferiores à proposta de menor preço por item, ou em valores distintos e decrescentes inferiores ao do último valor apresentado pela própria licitante ofertante, observada, em ambos os casos, a redução mínima entre eles de </w:t>
      </w:r>
      <w:r w:rsidRPr="00D1041D">
        <w:rPr>
          <w:rFonts w:ascii="Century Gothic" w:hAnsi="Century Gothic"/>
          <w:b/>
          <w:sz w:val="28"/>
          <w:szCs w:val="28"/>
        </w:rPr>
        <w:t>R$ 0,01 (um centavo)</w:t>
      </w:r>
      <w:r w:rsidRPr="00D1041D">
        <w:rPr>
          <w:rFonts w:ascii="Century Gothic" w:hAnsi="Century Gothic"/>
          <w:sz w:val="28"/>
          <w:szCs w:val="28"/>
        </w:rPr>
        <w:t xml:space="preserve"> aplicável, inclusive, em relação ao primeiro formulado, prevalecendo o primeiro lance recebido, quando ocorrerem dois ou mais lances do mesmo valor; </w:t>
      </w:r>
    </w:p>
    <w:p w:rsidR="00C60AED" w:rsidRPr="00D1041D" w:rsidRDefault="00C60AED" w:rsidP="00C60AED">
      <w:pPr>
        <w:tabs>
          <w:tab w:val="left" w:pos="-1701"/>
        </w:tabs>
        <w:autoSpaceDE w:val="0"/>
        <w:autoSpaceDN w:val="0"/>
        <w:adjustRightInd w:val="0"/>
        <w:ind w:right="-1"/>
        <w:jc w:val="both"/>
        <w:rPr>
          <w:rFonts w:ascii="Century Gothic" w:hAnsi="Century Gothic"/>
          <w:sz w:val="28"/>
          <w:szCs w:val="28"/>
        </w:rPr>
      </w:pPr>
    </w:p>
    <w:p w:rsidR="00C60AED" w:rsidRPr="00D1041D" w:rsidRDefault="00C60AED" w:rsidP="00C60AED">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b/>
          <w:sz w:val="28"/>
          <w:szCs w:val="28"/>
        </w:rPr>
        <w:t>6.7.1 –</w:t>
      </w:r>
      <w:r w:rsidRPr="00D1041D">
        <w:rPr>
          <w:rFonts w:ascii="Century Gothic" w:hAnsi="Century Gothic"/>
          <w:sz w:val="28"/>
          <w:szCs w:val="28"/>
        </w:rPr>
        <w:t xml:space="preserve"> A aplicação do valor de redução mínima entre os lances incidirá sobre o preço unitário por item.</w:t>
      </w:r>
    </w:p>
    <w:p w:rsidR="00C60AED" w:rsidRPr="00D1041D" w:rsidRDefault="00C60AED" w:rsidP="00C60AED">
      <w:pPr>
        <w:tabs>
          <w:tab w:val="left" w:pos="-1701"/>
        </w:tabs>
        <w:autoSpaceDE w:val="0"/>
        <w:autoSpaceDN w:val="0"/>
        <w:adjustRightInd w:val="0"/>
        <w:ind w:right="-1"/>
        <w:jc w:val="both"/>
        <w:rPr>
          <w:rFonts w:ascii="Century Gothic" w:hAnsi="Century Gothic" w:cs="Arial"/>
          <w:sz w:val="28"/>
          <w:szCs w:val="28"/>
        </w:rPr>
      </w:pPr>
    </w:p>
    <w:p w:rsidR="00C60AED" w:rsidRPr="00D1041D" w:rsidRDefault="00C60AED" w:rsidP="00C60AED">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t xml:space="preserve">6.7 </w:t>
      </w:r>
      <w:r w:rsidRPr="00D1041D">
        <w:rPr>
          <w:rFonts w:ascii="Century Gothic" w:hAnsi="Century Gothic" w:cs="Arial"/>
          <w:sz w:val="28"/>
          <w:szCs w:val="28"/>
        </w:rPr>
        <w:t>– A etapa de lances será considerada encerrada quando todos os participantes dessa etapa declinarem da formulação de lances.</w:t>
      </w:r>
    </w:p>
    <w:p w:rsidR="00C60AED" w:rsidRPr="00D1041D" w:rsidRDefault="00C60AED" w:rsidP="00C60AED">
      <w:pPr>
        <w:tabs>
          <w:tab w:val="left" w:pos="-1701"/>
        </w:tabs>
        <w:autoSpaceDE w:val="0"/>
        <w:autoSpaceDN w:val="0"/>
        <w:adjustRightInd w:val="0"/>
        <w:ind w:right="-1"/>
        <w:jc w:val="both"/>
        <w:rPr>
          <w:rFonts w:ascii="Century Gothic" w:hAnsi="Century Gothic" w:cs="Arial"/>
          <w:b/>
          <w:bCs/>
          <w:sz w:val="28"/>
          <w:szCs w:val="28"/>
        </w:rPr>
      </w:pPr>
    </w:p>
    <w:p w:rsidR="00C60AED" w:rsidRPr="00D1041D" w:rsidRDefault="00C60AED" w:rsidP="00C60AED">
      <w:pPr>
        <w:tabs>
          <w:tab w:val="left" w:pos="-1701"/>
        </w:tabs>
        <w:autoSpaceDE w:val="0"/>
        <w:autoSpaceDN w:val="0"/>
        <w:adjustRightInd w:val="0"/>
        <w:ind w:right="-1"/>
        <w:jc w:val="both"/>
        <w:rPr>
          <w:rFonts w:ascii="Century Gothic" w:hAnsi="Century Gothic"/>
          <w:sz w:val="28"/>
          <w:szCs w:val="28"/>
        </w:rPr>
      </w:pPr>
      <w:r w:rsidRPr="00D1041D">
        <w:rPr>
          <w:rFonts w:ascii="Century Gothic" w:hAnsi="Century Gothic"/>
          <w:b/>
          <w:sz w:val="28"/>
          <w:szCs w:val="28"/>
        </w:rPr>
        <w:lastRenderedPageBreak/>
        <w:t xml:space="preserve">6.8 – </w:t>
      </w:r>
      <w:r w:rsidRPr="00D1041D">
        <w:rPr>
          <w:rFonts w:ascii="Century Gothic" w:hAnsi="Century Gothic"/>
          <w:sz w:val="28"/>
          <w:szCs w:val="28"/>
        </w:rPr>
        <w:t xml:space="preserve">Se houver </w:t>
      </w:r>
      <w:r w:rsidRPr="00D1041D">
        <w:rPr>
          <w:rFonts w:ascii="Century Gothic" w:hAnsi="Century Gothic"/>
          <w:b/>
          <w:sz w:val="28"/>
          <w:szCs w:val="28"/>
        </w:rPr>
        <w:t>empate</w:t>
      </w:r>
      <w:r w:rsidRPr="00D1041D">
        <w:rPr>
          <w:rFonts w:ascii="Century Gothic" w:hAnsi="Century Gothic"/>
          <w:sz w:val="28"/>
          <w:szCs w:val="28"/>
        </w:rPr>
        <w:t xml:space="preserve">, será assegurado o </w:t>
      </w:r>
      <w:r w:rsidRPr="00D1041D">
        <w:rPr>
          <w:rFonts w:ascii="Century Gothic" w:hAnsi="Century Gothic"/>
          <w:b/>
          <w:sz w:val="28"/>
          <w:szCs w:val="28"/>
        </w:rPr>
        <w:t>exercício do direito de preferência às microempresas e empresas de pequeno porte</w:t>
      </w:r>
      <w:r w:rsidRPr="00D1041D">
        <w:rPr>
          <w:rFonts w:ascii="Century Gothic" w:hAnsi="Century Gothic"/>
          <w:sz w:val="28"/>
          <w:szCs w:val="28"/>
        </w:rPr>
        <w:t xml:space="preserve">, nos seguintes termos: </w:t>
      </w:r>
    </w:p>
    <w:p w:rsidR="00C60AED" w:rsidRPr="00D1041D" w:rsidRDefault="00C60AED" w:rsidP="00C60AED">
      <w:pPr>
        <w:tabs>
          <w:tab w:val="left" w:pos="-1701"/>
        </w:tabs>
        <w:autoSpaceDE w:val="0"/>
        <w:autoSpaceDN w:val="0"/>
        <w:adjustRightInd w:val="0"/>
        <w:ind w:right="-1"/>
        <w:jc w:val="both"/>
        <w:rPr>
          <w:rFonts w:ascii="Century Gothic" w:hAnsi="Century Gothic"/>
          <w:sz w:val="28"/>
          <w:szCs w:val="28"/>
        </w:rPr>
      </w:pPr>
    </w:p>
    <w:p w:rsidR="00C60AED" w:rsidRPr="00D1041D" w:rsidRDefault="00C60AED" w:rsidP="00C60AED">
      <w:pPr>
        <w:tabs>
          <w:tab w:val="left" w:pos="-1701"/>
        </w:tabs>
        <w:autoSpaceDE w:val="0"/>
        <w:autoSpaceDN w:val="0"/>
        <w:adjustRightInd w:val="0"/>
        <w:ind w:right="-1"/>
        <w:jc w:val="both"/>
        <w:rPr>
          <w:rFonts w:ascii="Century Gothic" w:hAnsi="Century Gothic"/>
          <w:sz w:val="28"/>
          <w:szCs w:val="28"/>
        </w:rPr>
      </w:pPr>
      <w:r w:rsidRPr="00D1041D">
        <w:rPr>
          <w:rFonts w:ascii="Century Gothic" w:hAnsi="Century Gothic"/>
          <w:b/>
          <w:sz w:val="28"/>
          <w:szCs w:val="28"/>
        </w:rPr>
        <w:t xml:space="preserve">6.8.1 – </w:t>
      </w:r>
      <w:r w:rsidRPr="00D1041D">
        <w:rPr>
          <w:rFonts w:ascii="Century Gothic" w:hAnsi="Century Gothic"/>
          <w:sz w:val="28"/>
          <w:szCs w:val="28"/>
        </w:rPr>
        <w:t xml:space="preserve">Entende-se por empate aquelas situações em que as propostas apresentadas pelas microempresas e empresas de pequeno porte sejam iguais ou até 5 % (cinco por cento) superiores à proposta mais bem classificada; </w:t>
      </w:r>
    </w:p>
    <w:p w:rsidR="00C60AED" w:rsidRPr="00D1041D" w:rsidRDefault="00C60AED" w:rsidP="00C60AED">
      <w:pPr>
        <w:tabs>
          <w:tab w:val="left" w:pos="-1701"/>
        </w:tabs>
        <w:autoSpaceDE w:val="0"/>
        <w:autoSpaceDN w:val="0"/>
        <w:adjustRightInd w:val="0"/>
        <w:ind w:right="-1"/>
        <w:jc w:val="both"/>
        <w:rPr>
          <w:rFonts w:ascii="Century Gothic" w:hAnsi="Century Gothic"/>
          <w:sz w:val="28"/>
          <w:szCs w:val="28"/>
        </w:rPr>
      </w:pPr>
    </w:p>
    <w:p w:rsidR="00C60AED" w:rsidRPr="00D1041D" w:rsidRDefault="00C60AED" w:rsidP="00C60AED">
      <w:pPr>
        <w:tabs>
          <w:tab w:val="left" w:pos="-1701"/>
        </w:tabs>
        <w:autoSpaceDE w:val="0"/>
        <w:autoSpaceDN w:val="0"/>
        <w:adjustRightInd w:val="0"/>
        <w:ind w:right="-1"/>
        <w:jc w:val="both"/>
        <w:rPr>
          <w:rFonts w:ascii="Century Gothic" w:hAnsi="Century Gothic"/>
          <w:sz w:val="28"/>
          <w:szCs w:val="28"/>
        </w:rPr>
      </w:pPr>
      <w:r w:rsidRPr="00D1041D">
        <w:rPr>
          <w:rFonts w:ascii="Century Gothic" w:hAnsi="Century Gothic"/>
          <w:b/>
          <w:sz w:val="28"/>
          <w:szCs w:val="28"/>
        </w:rPr>
        <w:t xml:space="preserve">6.8.2 – </w:t>
      </w:r>
      <w:r w:rsidRPr="00D1041D">
        <w:rPr>
          <w:rFonts w:ascii="Century Gothic" w:hAnsi="Century Gothic"/>
          <w:sz w:val="28"/>
          <w:szCs w:val="28"/>
        </w:rPr>
        <w:t xml:space="preserve">A microempresa ou empresa de pequeno porte cuja proposta for mais bem classificada poderá apresentar proposta de preço inferior àquela considerada vencedora da fase de lances, situação em que sua proposta será declarada a melhor oferta; </w:t>
      </w:r>
    </w:p>
    <w:p w:rsidR="00C60AED" w:rsidRPr="00D1041D" w:rsidRDefault="00C60AED" w:rsidP="00C60AED">
      <w:pPr>
        <w:tabs>
          <w:tab w:val="left" w:pos="-1701"/>
        </w:tabs>
        <w:autoSpaceDE w:val="0"/>
        <w:autoSpaceDN w:val="0"/>
        <w:adjustRightInd w:val="0"/>
        <w:ind w:right="-1"/>
        <w:jc w:val="both"/>
        <w:rPr>
          <w:rFonts w:ascii="Century Gothic" w:hAnsi="Century Gothic"/>
          <w:sz w:val="28"/>
          <w:szCs w:val="28"/>
        </w:rPr>
      </w:pPr>
    </w:p>
    <w:p w:rsidR="00C60AED" w:rsidRPr="00D1041D" w:rsidRDefault="00C60AED" w:rsidP="00C60AED">
      <w:pPr>
        <w:tabs>
          <w:tab w:val="left" w:pos="-1701"/>
        </w:tabs>
        <w:autoSpaceDE w:val="0"/>
        <w:autoSpaceDN w:val="0"/>
        <w:adjustRightInd w:val="0"/>
        <w:ind w:right="-1"/>
        <w:jc w:val="both"/>
        <w:rPr>
          <w:rFonts w:ascii="Century Gothic" w:hAnsi="Century Gothic"/>
          <w:sz w:val="28"/>
          <w:szCs w:val="28"/>
        </w:rPr>
      </w:pPr>
      <w:r w:rsidRPr="00D1041D">
        <w:rPr>
          <w:rFonts w:ascii="Century Gothic" w:hAnsi="Century Gothic"/>
          <w:b/>
          <w:sz w:val="28"/>
          <w:szCs w:val="28"/>
        </w:rPr>
        <w:t>a)</w:t>
      </w:r>
      <w:r w:rsidRPr="00D1041D">
        <w:rPr>
          <w:rFonts w:ascii="Century Gothic" w:hAnsi="Century Gothic"/>
          <w:sz w:val="28"/>
          <w:szCs w:val="28"/>
        </w:rPr>
        <w:t xml:space="preserve"> Para tanto, será convocada para exercer seu direito de preferência e apresentar nova proposta no prazo máximo de 5 (cinco) minutos após o encerramento dos lances, a contar da convocação do Pregoeiro, sob pena de preclusão; </w:t>
      </w:r>
    </w:p>
    <w:p w:rsidR="00C60AED" w:rsidRPr="00D1041D" w:rsidRDefault="00C60AED" w:rsidP="00C60AED">
      <w:pPr>
        <w:tabs>
          <w:tab w:val="left" w:pos="-1701"/>
        </w:tabs>
        <w:autoSpaceDE w:val="0"/>
        <w:autoSpaceDN w:val="0"/>
        <w:adjustRightInd w:val="0"/>
        <w:ind w:right="-1"/>
        <w:jc w:val="both"/>
        <w:rPr>
          <w:rFonts w:ascii="Century Gothic" w:hAnsi="Century Gothic"/>
          <w:sz w:val="28"/>
          <w:szCs w:val="28"/>
        </w:rPr>
      </w:pPr>
    </w:p>
    <w:p w:rsidR="00C60AED" w:rsidRPr="00D1041D" w:rsidRDefault="00C60AED" w:rsidP="00C60AED">
      <w:pPr>
        <w:tabs>
          <w:tab w:val="left" w:pos="-1701"/>
        </w:tabs>
        <w:autoSpaceDE w:val="0"/>
        <w:autoSpaceDN w:val="0"/>
        <w:adjustRightInd w:val="0"/>
        <w:ind w:right="-1"/>
        <w:jc w:val="both"/>
        <w:rPr>
          <w:rFonts w:ascii="Century Gothic" w:hAnsi="Century Gothic"/>
          <w:sz w:val="28"/>
          <w:szCs w:val="28"/>
        </w:rPr>
      </w:pPr>
      <w:r w:rsidRPr="00D1041D">
        <w:rPr>
          <w:rFonts w:ascii="Century Gothic" w:hAnsi="Century Gothic"/>
          <w:b/>
          <w:sz w:val="28"/>
          <w:szCs w:val="28"/>
        </w:rPr>
        <w:t>b)</w:t>
      </w:r>
      <w:r w:rsidRPr="00D1041D">
        <w:rPr>
          <w:rFonts w:ascii="Century Gothic" w:hAnsi="Century Gothic"/>
          <w:sz w:val="28"/>
          <w:szCs w:val="28"/>
        </w:rPr>
        <w:t xml:space="preserve"> Se houver equivalência dos valores das propostas apresentados pelas microempresas e empresas de pequeno porte que se encontrem no intervalo estabelecido no subitem 6.8.1 será realizado sorteio entre elas para que se identifique aquela que primeiro poderá exercer a preferência e apresentar nova proposta; </w:t>
      </w:r>
    </w:p>
    <w:p w:rsidR="00C60AED" w:rsidRPr="00D1041D" w:rsidRDefault="00C60AED" w:rsidP="00C60AED">
      <w:pPr>
        <w:tabs>
          <w:tab w:val="left" w:pos="-1701"/>
        </w:tabs>
        <w:autoSpaceDE w:val="0"/>
        <w:autoSpaceDN w:val="0"/>
        <w:adjustRightInd w:val="0"/>
        <w:ind w:right="-1"/>
        <w:jc w:val="both"/>
        <w:rPr>
          <w:rFonts w:ascii="Century Gothic" w:hAnsi="Century Gothic"/>
          <w:sz w:val="28"/>
          <w:szCs w:val="28"/>
        </w:rPr>
      </w:pPr>
    </w:p>
    <w:p w:rsidR="00C60AED" w:rsidRPr="00D1041D" w:rsidRDefault="00C60AED" w:rsidP="00C60AED">
      <w:pPr>
        <w:tabs>
          <w:tab w:val="left" w:pos="-1701"/>
        </w:tabs>
        <w:autoSpaceDE w:val="0"/>
        <w:autoSpaceDN w:val="0"/>
        <w:adjustRightInd w:val="0"/>
        <w:ind w:right="-1"/>
        <w:jc w:val="both"/>
        <w:rPr>
          <w:rFonts w:ascii="Century Gothic" w:hAnsi="Century Gothic"/>
          <w:sz w:val="28"/>
          <w:szCs w:val="28"/>
        </w:rPr>
      </w:pPr>
      <w:r w:rsidRPr="00D1041D">
        <w:rPr>
          <w:rFonts w:ascii="Century Gothic" w:hAnsi="Century Gothic"/>
          <w:b/>
          <w:sz w:val="28"/>
          <w:szCs w:val="28"/>
        </w:rPr>
        <w:t>b.1)</w:t>
      </w:r>
      <w:r w:rsidRPr="00D1041D">
        <w:rPr>
          <w:rFonts w:ascii="Century Gothic" w:hAnsi="Century Gothic"/>
          <w:sz w:val="28"/>
          <w:szCs w:val="28"/>
        </w:rPr>
        <w:t xml:space="preserve"> Entende-se por equivalência dos valores das propostas as que apresentarem igual valor, respeitada a ordem de classificação. </w:t>
      </w:r>
    </w:p>
    <w:p w:rsidR="00C60AED" w:rsidRPr="00D1041D" w:rsidRDefault="00C60AED" w:rsidP="00C60AED">
      <w:pPr>
        <w:tabs>
          <w:tab w:val="left" w:pos="-1701"/>
        </w:tabs>
        <w:autoSpaceDE w:val="0"/>
        <w:autoSpaceDN w:val="0"/>
        <w:adjustRightInd w:val="0"/>
        <w:ind w:right="-1"/>
        <w:jc w:val="both"/>
        <w:rPr>
          <w:rFonts w:ascii="Century Gothic" w:hAnsi="Century Gothic"/>
          <w:sz w:val="28"/>
          <w:szCs w:val="28"/>
        </w:rPr>
      </w:pPr>
    </w:p>
    <w:p w:rsidR="00C60AED" w:rsidRPr="00D1041D" w:rsidRDefault="00C60AED" w:rsidP="00C60AED">
      <w:pPr>
        <w:tabs>
          <w:tab w:val="left" w:pos="-1701"/>
        </w:tabs>
        <w:autoSpaceDE w:val="0"/>
        <w:autoSpaceDN w:val="0"/>
        <w:adjustRightInd w:val="0"/>
        <w:ind w:right="-1"/>
        <w:jc w:val="both"/>
        <w:rPr>
          <w:rFonts w:ascii="Century Gothic" w:hAnsi="Century Gothic"/>
          <w:sz w:val="28"/>
          <w:szCs w:val="28"/>
        </w:rPr>
      </w:pPr>
      <w:r w:rsidRPr="00D1041D">
        <w:rPr>
          <w:rFonts w:ascii="Century Gothic" w:hAnsi="Century Gothic"/>
          <w:b/>
          <w:sz w:val="28"/>
          <w:szCs w:val="28"/>
        </w:rPr>
        <w:t xml:space="preserve">6.8.3 – </w:t>
      </w:r>
      <w:r w:rsidRPr="00D1041D">
        <w:rPr>
          <w:rFonts w:ascii="Century Gothic" w:hAnsi="Century Gothic"/>
          <w:sz w:val="28"/>
          <w:szCs w:val="28"/>
        </w:rPr>
        <w:t xml:space="preserve">O exercício do direito de preferência somente será aplicado quando a melhor oferta da fase de lances não tiver sido apresentada por microempresa ou empresa de pequeno porte; </w:t>
      </w:r>
    </w:p>
    <w:p w:rsidR="00C60AED" w:rsidRPr="00D1041D" w:rsidRDefault="00C60AED" w:rsidP="00C60AED">
      <w:pPr>
        <w:tabs>
          <w:tab w:val="left" w:pos="-1701"/>
        </w:tabs>
        <w:autoSpaceDE w:val="0"/>
        <w:autoSpaceDN w:val="0"/>
        <w:adjustRightInd w:val="0"/>
        <w:ind w:right="-1"/>
        <w:jc w:val="both"/>
        <w:rPr>
          <w:rFonts w:ascii="Century Gothic" w:hAnsi="Century Gothic"/>
          <w:sz w:val="28"/>
          <w:szCs w:val="28"/>
        </w:rPr>
      </w:pPr>
    </w:p>
    <w:p w:rsidR="00C60AED" w:rsidRPr="00D1041D" w:rsidRDefault="00C60AED" w:rsidP="00C60AED">
      <w:pPr>
        <w:tabs>
          <w:tab w:val="left" w:pos="-1701"/>
        </w:tabs>
        <w:autoSpaceDE w:val="0"/>
        <w:autoSpaceDN w:val="0"/>
        <w:adjustRightInd w:val="0"/>
        <w:ind w:right="-1"/>
        <w:jc w:val="both"/>
        <w:rPr>
          <w:rFonts w:ascii="Century Gothic" w:hAnsi="Century Gothic"/>
          <w:sz w:val="28"/>
          <w:szCs w:val="28"/>
        </w:rPr>
      </w:pPr>
      <w:r w:rsidRPr="00D1041D">
        <w:rPr>
          <w:rFonts w:ascii="Century Gothic" w:hAnsi="Century Gothic"/>
          <w:b/>
          <w:sz w:val="28"/>
          <w:szCs w:val="28"/>
        </w:rPr>
        <w:t xml:space="preserve">6.8.4 – </w:t>
      </w:r>
      <w:r w:rsidRPr="00D1041D">
        <w:rPr>
          <w:rFonts w:ascii="Century Gothic" w:hAnsi="Century Gothic"/>
          <w:sz w:val="28"/>
          <w:szCs w:val="28"/>
        </w:rPr>
        <w:t xml:space="preserve">Não ocorrendo a contratação da microempresa ou empresa de pequeno porte, retomar-se-ão, em sessão pública, os procedimentos relativos à licitação, nos termos do quanto disposto no artigo 4º, inciso XXIII, da Lei nº 10.520/02, sendo assegurado o exercício do direito de preferência na hipótese de haver participação de demais microempresas e empresas </w:t>
      </w:r>
      <w:r w:rsidRPr="00D1041D">
        <w:rPr>
          <w:rFonts w:ascii="Century Gothic" w:hAnsi="Century Gothic"/>
          <w:sz w:val="28"/>
          <w:szCs w:val="28"/>
        </w:rPr>
        <w:lastRenderedPageBreak/>
        <w:t xml:space="preserve">de pequeno porte cujas propostas se encontrem no intervalo estabelecido no subitem </w:t>
      </w:r>
      <w:r w:rsidRPr="00D1041D">
        <w:rPr>
          <w:rFonts w:ascii="Century Gothic" w:hAnsi="Century Gothic"/>
          <w:b/>
          <w:sz w:val="28"/>
          <w:szCs w:val="28"/>
        </w:rPr>
        <w:t>6.8.1</w:t>
      </w:r>
      <w:r w:rsidRPr="00D1041D">
        <w:rPr>
          <w:rFonts w:ascii="Century Gothic" w:hAnsi="Century Gothic"/>
          <w:sz w:val="28"/>
          <w:szCs w:val="28"/>
        </w:rPr>
        <w:t xml:space="preserve">; </w:t>
      </w:r>
    </w:p>
    <w:p w:rsidR="00C60AED" w:rsidRPr="00D1041D" w:rsidRDefault="00C60AED" w:rsidP="00C60AED">
      <w:pPr>
        <w:tabs>
          <w:tab w:val="left" w:pos="-1701"/>
        </w:tabs>
        <w:autoSpaceDE w:val="0"/>
        <w:autoSpaceDN w:val="0"/>
        <w:adjustRightInd w:val="0"/>
        <w:ind w:right="-1"/>
        <w:jc w:val="both"/>
        <w:rPr>
          <w:rFonts w:ascii="Century Gothic" w:hAnsi="Century Gothic"/>
          <w:sz w:val="28"/>
          <w:szCs w:val="28"/>
        </w:rPr>
      </w:pPr>
    </w:p>
    <w:p w:rsidR="00C60AED" w:rsidRPr="00D1041D" w:rsidRDefault="00C60AED" w:rsidP="00C60AED">
      <w:pPr>
        <w:tabs>
          <w:tab w:val="left" w:pos="-1701"/>
        </w:tabs>
        <w:autoSpaceDE w:val="0"/>
        <w:autoSpaceDN w:val="0"/>
        <w:adjustRightInd w:val="0"/>
        <w:ind w:right="-1"/>
        <w:jc w:val="both"/>
        <w:rPr>
          <w:rFonts w:ascii="Century Gothic" w:hAnsi="Century Gothic" w:cs="Arial"/>
          <w:b/>
          <w:bCs/>
          <w:sz w:val="28"/>
          <w:szCs w:val="28"/>
        </w:rPr>
      </w:pPr>
      <w:r w:rsidRPr="00D1041D">
        <w:rPr>
          <w:rFonts w:ascii="Century Gothic" w:hAnsi="Century Gothic"/>
          <w:b/>
          <w:sz w:val="28"/>
          <w:szCs w:val="28"/>
        </w:rPr>
        <w:t>a)</w:t>
      </w:r>
      <w:r w:rsidRPr="00D1041D">
        <w:rPr>
          <w:rFonts w:ascii="Century Gothic" w:hAnsi="Century Gothic"/>
          <w:sz w:val="28"/>
          <w:szCs w:val="28"/>
        </w:rPr>
        <w:t xml:space="preserve"> Não configurada a hipótese prevista neste subitem, será declarada a melhor oferta aquela proposta originalmente vencedora da fase de lances</w:t>
      </w:r>
    </w:p>
    <w:p w:rsidR="00C60AED" w:rsidRPr="00D1041D" w:rsidRDefault="00C60AED" w:rsidP="00C60AED">
      <w:pPr>
        <w:tabs>
          <w:tab w:val="left" w:pos="-1701"/>
        </w:tabs>
        <w:autoSpaceDE w:val="0"/>
        <w:autoSpaceDN w:val="0"/>
        <w:adjustRightInd w:val="0"/>
        <w:ind w:right="-1"/>
        <w:jc w:val="both"/>
        <w:rPr>
          <w:rFonts w:ascii="Century Gothic" w:hAnsi="Century Gothic" w:cs="Arial"/>
          <w:b/>
          <w:bCs/>
          <w:sz w:val="28"/>
          <w:szCs w:val="28"/>
        </w:rPr>
      </w:pPr>
    </w:p>
    <w:p w:rsidR="00C60AED" w:rsidRPr="00D1041D" w:rsidRDefault="00C60AED" w:rsidP="00C60AED">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t xml:space="preserve">6.9 </w:t>
      </w:r>
      <w:r w:rsidRPr="00D1041D">
        <w:rPr>
          <w:rFonts w:ascii="Century Gothic" w:hAnsi="Century Gothic" w:cs="Arial"/>
          <w:sz w:val="28"/>
          <w:szCs w:val="28"/>
        </w:rPr>
        <w:t xml:space="preserve">– Após a fase de lances serão </w:t>
      </w:r>
      <w:r w:rsidRPr="00D1041D">
        <w:rPr>
          <w:rFonts w:ascii="Century Gothic" w:hAnsi="Century Gothic" w:cs="Arial"/>
          <w:b/>
          <w:bCs/>
          <w:sz w:val="28"/>
          <w:szCs w:val="28"/>
        </w:rPr>
        <w:t>classificadas</w:t>
      </w:r>
      <w:r w:rsidRPr="00D1041D">
        <w:rPr>
          <w:rFonts w:ascii="Century Gothic" w:hAnsi="Century Gothic" w:cs="Arial"/>
          <w:sz w:val="28"/>
          <w:szCs w:val="28"/>
        </w:rPr>
        <w:t xml:space="preserve">, na </w:t>
      </w:r>
      <w:r w:rsidRPr="00D1041D">
        <w:rPr>
          <w:rFonts w:ascii="Century Gothic" w:hAnsi="Century Gothic" w:cs="Arial"/>
          <w:b/>
          <w:bCs/>
          <w:sz w:val="28"/>
          <w:szCs w:val="28"/>
        </w:rPr>
        <w:t>ordem crescente dos valores</w:t>
      </w:r>
      <w:r w:rsidRPr="00D1041D">
        <w:rPr>
          <w:rFonts w:ascii="Century Gothic" w:hAnsi="Century Gothic" w:cs="Arial"/>
          <w:sz w:val="28"/>
          <w:szCs w:val="28"/>
        </w:rPr>
        <w:t>, as propostas não selecionadas por conta da regra disposta no item 6.6.1, e aquelas selecionadas para a etapa de lances, considerando-se para estas, o último preço ofertado.</w:t>
      </w:r>
    </w:p>
    <w:p w:rsidR="00C60AED" w:rsidRPr="00D1041D" w:rsidRDefault="00C60AED" w:rsidP="00C60AED">
      <w:pPr>
        <w:tabs>
          <w:tab w:val="left" w:pos="-1701"/>
        </w:tabs>
        <w:autoSpaceDE w:val="0"/>
        <w:autoSpaceDN w:val="0"/>
        <w:adjustRightInd w:val="0"/>
        <w:ind w:right="-1"/>
        <w:jc w:val="both"/>
        <w:rPr>
          <w:rFonts w:ascii="Century Gothic" w:hAnsi="Century Gothic" w:cs="Arial"/>
          <w:sz w:val="28"/>
          <w:szCs w:val="28"/>
        </w:rPr>
      </w:pPr>
    </w:p>
    <w:p w:rsidR="00C60AED" w:rsidRPr="00D1041D" w:rsidRDefault="00C60AED" w:rsidP="00C60AED">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t xml:space="preserve">6.10 </w:t>
      </w:r>
      <w:r w:rsidRPr="00D1041D">
        <w:rPr>
          <w:rFonts w:ascii="Century Gothic" w:hAnsi="Century Gothic" w:cs="Arial"/>
          <w:sz w:val="28"/>
          <w:szCs w:val="28"/>
        </w:rPr>
        <w:t>– Não poderá haver desistência dos lances ofertados, sujeitando-se o licitante desistente às penalidades legais cabíveis.</w:t>
      </w:r>
    </w:p>
    <w:p w:rsidR="00C60AED" w:rsidRPr="00D1041D" w:rsidRDefault="00C60AED" w:rsidP="00C60AED">
      <w:pPr>
        <w:tabs>
          <w:tab w:val="left" w:pos="-1701"/>
        </w:tabs>
        <w:autoSpaceDE w:val="0"/>
        <w:autoSpaceDN w:val="0"/>
        <w:adjustRightInd w:val="0"/>
        <w:ind w:right="-1"/>
        <w:jc w:val="both"/>
        <w:rPr>
          <w:rFonts w:ascii="Century Gothic" w:hAnsi="Century Gothic" w:cs="Arial"/>
          <w:sz w:val="28"/>
          <w:szCs w:val="28"/>
        </w:rPr>
      </w:pPr>
    </w:p>
    <w:p w:rsidR="00C60AED" w:rsidRPr="00D1041D" w:rsidRDefault="00C60AED" w:rsidP="00C60AED">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t xml:space="preserve">6.11 </w:t>
      </w:r>
      <w:r w:rsidRPr="00D1041D">
        <w:rPr>
          <w:rFonts w:ascii="Century Gothic" w:hAnsi="Century Gothic" w:cs="Arial"/>
          <w:sz w:val="28"/>
          <w:szCs w:val="28"/>
        </w:rPr>
        <w:t xml:space="preserve">– O Pregoeiro poderá </w:t>
      </w:r>
      <w:r w:rsidRPr="00D1041D">
        <w:rPr>
          <w:rFonts w:ascii="Century Gothic" w:hAnsi="Century Gothic" w:cs="Arial"/>
          <w:b/>
          <w:bCs/>
          <w:sz w:val="28"/>
          <w:szCs w:val="28"/>
        </w:rPr>
        <w:t xml:space="preserve">negociar </w:t>
      </w:r>
      <w:r w:rsidRPr="00D1041D">
        <w:rPr>
          <w:rFonts w:ascii="Century Gothic" w:hAnsi="Century Gothic" w:cs="Arial"/>
          <w:sz w:val="28"/>
          <w:szCs w:val="28"/>
        </w:rPr>
        <w:t>com o autor da oferta de menor valor com vistas à redução do preço.</w:t>
      </w:r>
    </w:p>
    <w:p w:rsidR="00C60AED" w:rsidRPr="00D1041D" w:rsidRDefault="00C60AED" w:rsidP="00C60AED">
      <w:pPr>
        <w:tabs>
          <w:tab w:val="left" w:pos="-1701"/>
        </w:tabs>
        <w:autoSpaceDE w:val="0"/>
        <w:autoSpaceDN w:val="0"/>
        <w:adjustRightInd w:val="0"/>
        <w:ind w:right="-1"/>
        <w:jc w:val="both"/>
        <w:rPr>
          <w:rFonts w:ascii="Century Gothic" w:hAnsi="Century Gothic" w:cs="Arial"/>
          <w:sz w:val="28"/>
          <w:szCs w:val="28"/>
        </w:rPr>
      </w:pPr>
    </w:p>
    <w:p w:rsidR="00C60AED" w:rsidRPr="00D1041D" w:rsidRDefault="00C60AED" w:rsidP="00C60AED">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t xml:space="preserve">6.12 </w:t>
      </w:r>
      <w:r w:rsidRPr="00D1041D">
        <w:rPr>
          <w:rFonts w:ascii="Century Gothic" w:hAnsi="Century Gothic" w:cs="Arial"/>
          <w:sz w:val="28"/>
          <w:szCs w:val="28"/>
        </w:rPr>
        <w:t xml:space="preserve">– Após a negociação, se houver, o Pregoeiro examinará a </w:t>
      </w:r>
      <w:r w:rsidRPr="00D1041D">
        <w:rPr>
          <w:rFonts w:ascii="Century Gothic" w:hAnsi="Century Gothic" w:cs="Arial"/>
          <w:b/>
          <w:bCs/>
          <w:sz w:val="28"/>
          <w:szCs w:val="28"/>
        </w:rPr>
        <w:t>aceitabilidade do menor preço por item</w:t>
      </w:r>
      <w:r w:rsidRPr="00D1041D">
        <w:rPr>
          <w:rFonts w:ascii="Century Gothic" w:hAnsi="Century Gothic" w:cs="Arial"/>
          <w:sz w:val="28"/>
          <w:szCs w:val="28"/>
        </w:rPr>
        <w:t>, decidindo motivadamente a respeito;</w:t>
      </w:r>
    </w:p>
    <w:p w:rsidR="00C60AED" w:rsidRPr="00D1041D" w:rsidRDefault="00C60AED" w:rsidP="00C60AED">
      <w:pPr>
        <w:tabs>
          <w:tab w:val="left" w:pos="-1701"/>
        </w:tabs>
        <w:autoSpaceDE w:val="0"/>
        <w:autoSpaceDN w:val="0"/>
        <w:adjustRightInd w:val="0"/>
        <w:ind w:right="-1"/>
        <w:jc w:val="both"/>
        <w:rPr>
          <w:rFonts w:ascii="Century Gothic" w:hAnsi="Century Gothic" w:cs="Arial"/>
          <w:sz w:val="28"/>
          <w:szCs w:val="28"/>
        </w:rPr>
      </w:pPr>
    </w:p>
    <w:p w:rsidR="00C60AED" w:rsidRPr="00D1041D" w:rsidRDefault="00C60AED" w:rsidP="00C60AED">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t xml:space="preserve">6.13 </w:t>
      </w:r>
      <w:r w:rsidRPr="00D1041D">
        <w:rPr>
          <w:rFonts w:ascii="Century Gothic" w:hAnsi="Century Gothic" w:cs="Arial"/>
          <w:sz w:val="28"/>
          <w:szCs w:val="28"/>
        </w:rPr>
        <w:t>– Considerada aceitável a oferta de menor preço por item, no momento oportuno, a critério do Pregoeiro, será verificado o atendimento do licitante às condições habilitatórias estipuladas neste Edital;</w:t>
      </w:r>
    </w:p>
    <w:p w:rsidR="00C60AED" w:rsidRPr="00D1041D" w:rsidRDefault="00C60AED" w:rsidP="00C60AED">
      <w:pPr>
        <w:tabs>
          <w:tab w:val="left" w:pos="-1701"/>
        </w:tabs>
        <w:autoSpaceDE w:val="0"/>
        <w:autoSpaceDN w:val="0"/>
        <w:adjustRightInd w:val="0"/>
        <w:ind w:right="-1"/>
        <w:jc w:val="both"/>
        <w:rPr>
          <w:rFonts w:ascii="Century Gothic" w:hAnsi="Century Gothic" w:cs="Arial"/>
          <w:sz w:val="28"/>
          <w:szCs w:val="28"/>
        </w:rPr>
      </w:pPr>
    </w:p>
    <w:p w:rsidR="00C60AED" w:rsidRPr="00D1041D" w:rsidRDefault="00C60AED" w:rsidP="00C60AED">
      <w:pPr>
        <w:tabs>
          <w:tab w:val="left" w:pos="-1701"/>
        </w:tabs>
        <w:autoSpaceDE w:val="0"/>
        <w:autoSpaceDN w:val="0"/>
        <w:adjustRightInd w:val="0"/>
        <w:ind w:right="-1"/>
        <w:jc w:val="both"/>
        <w:rPr>
          <w:rFonts w:ascii="Century Gothic" w:hAnsi="Century Gothic"/>
          <w:sz w:val="28"/>
          <w:szCs w:val="28"/>
        </w:rPr>
      </w:pPr>
      <w:r w:rsidRPr="00D1041D">
        <w:rPr>
          <w:rFonts w:ascii="Century Gothic" w:hAnsi="Century Gothic" w:cs="Arial"/>
          <w:b/>
          <w:bCs/>
          <w:sz w:val="28"/>
          <w:szCs w:val="28"/>
        </w:rPr>
        <w:t xml:space="preserve">6.14 </w:t>
      </w:r>
      <w:r w:rsidRPr="00D1041D">
        <w:rPr>
          <w:rFonts w:ascii="Century Gothic" w:hAnsi="Century Gothic" w:cs="Arial"/>
          <w:sz w:val="28"/>
          <w:szCs w:val="28"/>
        </w:rPr>
        <w:t xml:space="preserve">– </w:t>
      </w:r>
      <w:r w:rsidRPr="00D1041D">
        <w:rPr>
          <w:rFonts w:ascii="Century Gothic" w:hAnsi="Century Gothic"/>
          <w:sz w:val="28"/>
          <w:szCs w:val="28"/>
        </w:rPr>
        <w:t xml:space="preserve">Eventuais falhas, omissões ou outras irregularidades nos documentos de habilitação efetivamente entregues, poderão ser saneadas na sessão pública de processamento do Pregão, até a decisão sobre a habilitação, sendo vedada a apresentação de documentos novos. </w:t>
      </w:r>
    </w:p>
    <w:p w:rsidR="00C60AED" w:rsidRPr="00D1041D" w:rsidRDefault="00C60AED" w:rsidP="00C60AED">
      <w:pPr>
        <w:tabs>
          <w:tab w:val="left" w:pos="-1701"/>
        </w:tabs>
        <w:autoSpaceDE w:val="0"/>
        <w:autoSpaceDN w:val="0"/>
        <w:adjustRightInd w:val="0"/>
        <w:ind w:right="-1"/>
        <w:jc w:val="both"/>
        <w:rPr>
          <w:rFonts w:ascii="Century Gothic" w:hAnsi="Century Gothic"/>
          <w:sz w:val="28"/>
          <w:szCs w:val="28"/>
        </w:rPr>
      </w:pPr>
    </w:p>
    <w:p w:rsidR="00C60AED" w:rsidRPr="00D1041D" w:rsidRDefault="00C60AED" w:rsidP="00C60AED">
      <w:pPr>
        <w:tabs>
          <w:tab w:val="left" w:pos="-1701"/>
        </w:tabs>
        <w:autoSpaceDE w:val="0"/>
        <w:autoSpaceDN w:val="0"/>
        <w:adjustRightInd w:val="0"/>
        <w:ind w:right="-1"/>
        <w:jc w:val="both"/>
        <w:rPr>
          <w:rFonts w:ascii="Century Gothic" w:hAnsi="Century Gothic"/>
          <w:sz w:val="28"/>
          <w:szCs w:val="28"/>
        </w:rPr>
      </w:pPr>
      <w:r w:rsidRPr="00D1041D">
        <w:rPr>
          <w:rFonts w:ascii="Century Gothic" w:hAnsi="Century Gothic" w:cs="Arial"/>
          <w:b/>
          <w:bCs/>
          <w:sz w:val="28"/>
          <w:szCs w:val="28"/>
        </w:rPr>
        <w:t xml:space="preserve">6.15 </w:t>
      </w:r>
      <w:r w:rsidRPr="00D1041D">
        <w:rPr>
          <w:rFonts w:ascii="Century Gothic" w:hAnsi="Century Gothic" w:cs="Arial"/>
          <w:sz w:val="28"/>
          <w:szCs w:val="28"/>
        </w:rPr>
        <w:t xml:space="preserve">– </w:t>
      </w:r>
      <w:r w:rsidRPr="00D1041D">
        <w:rPr>
          <w:rFonts w:ascii="Century Gothic" w:hAnsi="Century Gothic"/>
          <w:sz w:val="28"/>
          <w:szCs w:val="28"/>
        </w:rPr>
        <w:t xml:space="preserve">A verificação será certificada pelo Pregoeiro, anexando aos autos documentos passíveis de obtenção por meio eletrônico, salvo impossibilidade devidamente justificada. </w:t>
      </w:r>
    </w:p>
    <w:p w:rsidR="00C60AED" w:rsidRPr="00D1041D" w:rsidRDefault="00C60AED" w:rsidP="00C60AED">
      <w:pPr>
        <w:tabs>
          <w:tab w:val="left" w:pos="-1701"/>
        </w:tabs>
        <w:autoSpaceDE w:val="0"/>
        <w:autoSpaceDN w:val="0"/>
        <w:adjustRightInd w:val="0"/>
        <w:ind w:right="-1"/>
        <w:jc w:val="both"/>
        <w:rPr>
          <w:rFonts w:ascii="Century Gothic" w:hAnsi="Century Gothic"/>
          <w:sz w:val="28"/>
          <w:szCs w:val="28"/>
        </w:rPr>
      </w:pPr>
    </w:p>
    <w:p w:rsidR="00C60AED" w:rsidRPr="00D1041D" w:rsidRDefault="00C60AED" w:rsidP="00C60AED">
      <w:pPr>
        <w:tabs>
          <w:tab w:val="left" w:pos="-1701"/>
        </w:tabs>
        <w:autoSpaceDE w:val="0"/>
        <w:autoSpaceDN w:val="0"/>
        <w:adjustRightInd w:val="0"/>
        <w:ind w:right="-1"/>
        <w:jc w:val="both"/>
        <w:rPr>
          <w:rFonts w:ascii="Century Gothic" w:hAnsi="Century Gothic"/>
          <w:sz w:val="28"/>
          <w:szCs w:val="28"/>
        </w:rPr>
      </w:pPr>
      <w:r w:rsidRPr="00D1041D">
        <w:rPr>
          <w:rFonts w:ascii="Century Gothic" w:hAnsi="Century Gothic" w:cs="Arial"/>
          <w:b/>
          <w:bCs/>
          <w:sz w:val="28"/>
          <w:szCs w:val="28"/>
        </w:rPr>
        <w:t xml:space="preserve">6.16 </w:t>
      </w:r>
      <w:r w:rsidRPr="00D1041D">
        <w:rPr>
          <w:rFonts w:ascii="Century Gothic" w:hAnsi="Century Gothic" w:cs="Arial"/>
          <w:sz w:val="28"/>
          <w:szCs w:val="28"/>
        </w:rPr>
        <w:t xml:space="preserve">– </w:t>
      </w:r>
      <w:r w:rsidRPr="00D1041D">
        <w:rPr>
          <w:rFonts w:ascii="Century Gothic" w:hAnsi="Century Gothic"/>
          <w:sz w:val="28"/>
          <w:szCs w:val="28"/>
        </w:rPr>
        <w:t xml:space="preserve">Este Município de </w:t>
      </w:r>
      <w:r w:rsidRPr="00D1041D">
        <w:rPr>
          <w:rFonts w:ascii="Century Gothic" w:hAnsi="Century Gothic"/>
          <w:bCs/>
          <w:sz w:val="28"/>
          <w:szCs w:val="28"/>
        </w:rPr>
        <w:t>Pirajuí</w:t>
      </w:r>
      <w:r w:rsidRPr="00D1041D">
        <w:rPr>
          <w:rFonts w:ascii="Century Gothic" w:hAnsi="Century Gothic"/>
          <w:sz w:val="28"/>
          <w:szCs w:val="28"/>
        </w:rPr>
        <w:t xml:space="preserve"> não se responsabilizará pela eventual indisponibilidade dos meios eletrônicos de informações, no momento da </w:t>
      </w:r>
      <w:r w:rsidRPr="00D1041D">
        <w:rPr>
          <w:rFonts w:ascii="Century Gothic" w:hAnsi="Century Gothic"/>
          <w:sz w:val="28"/>
          <w:szCs w:val="28"/>
        </w:rPr>
        <w:lastRenderedPageBreak/>
        <w:t xml:space="preserve">verificação. Ocorrendo essa indisponibilidade e não sendo apresentados os documentos alcançados pela verificação, o licitante será inabilitado. </w:t>
      </w:r>
    </w:p>
    <w:p w:rsidR="00C60AED" w:rsidRPr="00D1041D" w:rsidRDefault="00C60AED" w:rsidP="00C60AED">
      <w:pPr>
        <w:tabs>
          <w:tab w:val="left" w:pos="-1701"/>
        </w:tabs>
        <w:autoSpaceDE w:val="0"/>
        <w:autoSpaceDN w:val="0"/>
        <w:adjustRightInd w:val="0"/>
        <w:ind w:right="-1"/>
        <w:jc w:val="both"/>
        <w:rPr>
          <w:rFonts w:ascii="Century Gothic" w:hAnsi="Century Gothic" w:cs="Arial"/>
          <w:b/>
          <w:bCs/>
          <w:sz w:val="28"/>
          <w:szCs w:val="28"/>
        </w:rPr>
      </w:pPr>
    </w:p>
    <w:p w:rsidR="00C60AED" w:rsidRPr="00D1041D" w:rsidRDefault="00C60AED" w:rsidP="00C60AED">
      <w:pPr>
        <w:tabs>
          <w:tab w:val="left" w:pos="-1701"/>
        </w:tabs>
        <w:autoSpaceDE w:val="0"/>
        <w:autoSpaceDN w:val="0"/>
        <w:adjustRightInd w:val="0"/>
        <w:ind w:right="-1"/>
        <w:jc w:val="both"/>
        <w:rPr>
          <w:rFonts w:ascii="Century Gothic" w:hAnsi="Century Gothic"/>
          <w:sz w:val="28"/>
          <w:szCs w:val="28"/>
        </w:rPr>
      </w:pPr>
      <w:r w:rsidRPr="00D1041D">
        <w:rPr>
          <w:rFonts w:ascii="Century Gothic" w:hAnsi="Century Gothic" w:cs="Arial"/>
          <w:b/>
          <w:bCs/>
          <w:sz w:val="28"/>
          <w:szCs w:val="28"/>
        </w:rPr>
        <w:t xml:space="preserve">6.17 </w:t>
      </w:r>
      <w:r w:rsidRPr="00D1041D">
        <w:rPr>
          <w:rFonts w:ascii="Century Gothic" w:hAnsi="Century Gothic" w:cs="Arial"/>
          <w:sz w:val="28"/>
          <w:szCs w:val="28"/>
        </w:rPr>
        <w:t xml:space="preserve">– </w:t>
      </w:r>
      <w:r w:rsidRPr="00D1041D">
        <w:rPr>
          <w:rFonts w:ascii="Century Gothic" w:hAnsi="Century Gothic"/>
          <w:sz w:val="28"/>
          <w:szCs w:val="28"/>
        </w:rPr>
        <w:t xml:space="preserve">Constatado o atendimento pleno aos requisitos de habilitação previstos neste Edital, o licitante será habilitado e declarado vencedor. </w:t>
      </w:r>
    </w:p>
    <w:p w:rsidR="00C60AED" w:rsidRPr="00D1041D" w:rsidRDefault="00C60AED" w:rsidP="00C60AED">
      <w:pPr>
        <w:tabs>
          <w:tab w:val="left" w:pos="-1701"/>
        </w:tabs>
        <w:autoSpaceDE w:val="0"/>
        <w:autoSpaceDN w:val="0"/>
        <w:adjustRightInd w:val="0"/>
        <w:ind w:right="-1"/>
        <w:jc w:val="both"/>
        <w:rPr>
          <w:rFonts w:ascii="Century Gothic" w:hAnsi="Century Gothic"/>
          <w:sz w:val="28"/>
          <w:szCs w:val="28"/>
        </w:rPr>
      </w:pPr>
    </w:p>
    <w:p w:rsidR="00C60AED" w:rsidRPr="00D1041D" w:rsidRDefault="00C60AED" w:rsidP="00C60AED">
      <w:pPr>
        <w:tabs>
          <w:tab w:val="left" w:pos="-1701"/>
        </w:tabs>
        <w:autoSpaceDE w:val="0"/>
        <w:autoSpaceDN w:val="0"/>
        <w:adjustRightInd w:val="0"/>
        <w:ind w:right="-1"/>
        <w:jc w:val="both"/>
        <w:rPr>
          <w:rFonts w:ascii="Century Gothic" w:hAnsi="Century Gothic"/>
          <w:sz w:val="28"/>
          <w:szCs w:val="28"/>
        </w:rPr>
      </w:pPr>
      <w:r w:rsidRPr="00D1041D">
        <w:rPr>
          <w:rFonts w:ascii="Century Gothic" w:hAnsi="Century Gothic" w:cs="Arial"/>
          <w:b/>
          <w:bCs/>
          <w:sz w:val="28"/>
          <w:szCs w:val="28"/>
        </w:rPr>
        <w:t xml:space="preserve">6.18 </w:t>
      </w:r>
      <w:r w:rsidRPr="00D1041D">
        <w:rPr>
          <w:rFonts w:ascii="Century Gothic" w:hAnsi="Century Gothic" w:cs="Arial"/>
          <w:sz w:val="28"/>
          <w:szCs w:val="28"/>
        </w:rPr>
        <w:t xml:space="preserve">– </w:t>
      </w:r>
      <w:r w:rsidRPr="00D1041D">
        <w:rPr>
          <w:rFonts w:ascii="Century Gothic" w:hAnsi="Century Gothic"/>
          <w:sz w:val="28"/>
          <w:szCs w:val="28"/>
        </w:rPr>
        <w:t xml:space="preserve">Se a oferta de menor preço por item não for aceitável, ou se o licitante não atender às exigências de habilitação, o Pregoeiro examinará as ofertas subseqüentes, na ordem de classificação, podendo negociar com os respectivos autores, até a apuração de uma proposta que, verificada sua aceitabilidade e a habilitação do licitante, será declarada vencedora. </w:t>
      </w:r>
    </w:p>
    <w:p w:rsidR="00C60AED" w:rsidRPr="00D1041D" w:rsidRDefault="00C60AED" w:rsidP="00C60AED">
      <w:pPr>
        <w:tabs>
          <w:tab w:val="left" w:pos="-1701"/>
        </w:tabs>
        <w:autoSpaceDE w:val="0"/>
        <w:autoSpaceDN w:val="0"/>
        <w:adjustRightInd w:val="0"/>
        <w:ind w:right="-1"/>
        <w:jc w:val="both"/>
        <w:rPr>
          <w:rFonts w:ascii="Century Gothic" w:hAnsi="Century Gothic" w:cs="Arial"/>
          <w:b/>
          <w:bCs/>
          <w:sz w:val="28"/>
          <w:szCs w:val="28"/>
        </w:rPr>
      </w:pPr>
    </w:p>
    <w:p w:rsidR="00C60AED" w:rsidRPr="00D1041D" w:rsidRDefault="00C60AED" w:rsidP="00C60AED">
      <w:pPr>
        <w:tabs>
          <w:tab w:val="left" w:pos="-1701"/>
        </w:tabs>
        <w:autoSpaceDE w:val="0"/>
        <w:autoSpaceDN w:val="0"/>
        <w:adjustRightInd w:val="0"/>
        <w:ind w:right="-1"/>
        <w:jc w:val="both"/>
        <w:rPr>
          <w:rFonts w:ascii="Century Gothic" w:hAnsi="Century Gothic"/>
          <w:sz w:val="28"/>
          <w:szCs w:val="28"/>
        </w:rPr>
      </w:pPr>
      <w:r w:rsidRPr="00D1041D">
        <w:rPr>
          <w:rFonts w:ascii="Century Gothic" w:hAnsi="Century Gothic" w:cs="Arial"/>
          <w:b/>
          <w:bCs/>
          <w:sz w:val="28"/>
          <w:szCs w:val="28"/>
        </w:rPr>
        <w:t xml:space="preserve">6.19 </w:t>
      </w:r>
      <w:r w:rsidRPr="00D1041D">
        <w:rPr>
          <w:rFonts w:ascii="Century Gothic" w:hAnsi="Century Gothic" w:cs="Arial"/>
          <w:sz w:val="28"/>
          <w:szCs w:val="28"/>
        </w:rPr>
        <w:t xml:space="preserve">– </w:t>
      </w:r>
      <w:r w:rsidRPr="00D1041D">
        <w:rPr>
          <w:rFonts w:ascii="Century Gothic" w:hAnsi="Century Gothic"/>
          <w:sz w:val="28"/>
          <w:szCs w:val="28"/>
        </w:rPr>
        <w:t xml:space="preserve">Da sessão será lavrada ata circunstanciada, na qual serão registradas as ocorrências relevantes. </w:t>
      </w:r>
    </w:p>
    <w:p w:rsidR="00C60AED" w:rsidRPr="00D1041D" w:rsidRDefault="00C60AED" w:rsidP="00C60AED">
      <w:pPr>
        <w:tabs>
          <w:tab w:val="left" w:pos="-1701"/>
        </w:tabs>
        <w:autoSpaceDE w:val="0"/>
        <w:autoSpaceDN w:val="0"/>
        <w:adjustRightInd w:val="0"/>
        <w:ind w:right="-1"/>
        <w:jc w:val="both"/>
        <w:rPr>
          <w:rFonts w:ascii="Century Gothic" w:hAnsi="Century Gothic"/>
          <w:sz w:val="28"/>
          <w:szCs w:val="28"/>
        </w:rPr>
      </w:pPr>
    </w:p>
    <w:p w:rsidR="00C60AED" w:rsidRPr="00D1041D" w:rsidRDefault="00C60AED" w:rsidP="00C60AED">
      <w:pPr>
        <w:tabs>
          <w:tab w:val="left" w:pos="-1701"/>
        </w:tabs>
        <w:autoSpaceDE w:val="0"/>
        <w:autoSpaceDN w:val="0"/>
        <w:adjustRightInd w:val="0"/>
        <w:ind w:right="-1"/>
        <w:jc w:val="both"/>
        <w:rPr>
          <w:rFonts w:ascii="Century Gothic" w:hAnsi="Century Gothic"/>
          <w:sz w:val="28"/>
          <w:szCs w:val="28"/>
        </w:rPr>
      </w:pPr>
      <w:r w:rsidRPr="00D1041D">
        <w:rPr>
          <w:rFonts w:ascii="Century Gothic" w:hAnsi="Century Gothic" w:cs="Arial"/>
          <w:b/>
          <w:bCs/>
          <w:sz w:val="28"/>
          <w:szCs w:val="28"/>
        </w:rPr>
        <w:t xml:space="preserve">6.20 </w:t>
      </w:r>
      <w:r w:rsidRPr="00D1041D">
        <w:rPr>
          <w:rFonts w:ascii="Century Gothic" w:hAnsi="Century Gothic" w:cs="Arial"/>
          <w:sz w:val="28"/>
          <w:szCs w:val="28"/>
        </w:rPr>
        <w:t xml:space="preserve">– </w:t>
      </w:r>
      <w:r w:rsidRPr="00D1041D">
        <w:rPr>
          <w:rFonts w:ascii="Century Gothic" w:hAnsi="Century Gothic"/>
          <w:sz w:val="28"/>
          <w:szCs w:val="28"/>
        </w:rPr>
        <w:t xml:space="preserve">O Pregoeiro, na fase de julgamento, poderá promover quaisquer diligências julgadas necessárias à análise das propostas, da documentação, e declarações apresentadas, devendo os licitantes atender às solicitações no prazo por ele estipulado, contado do recebimento da convocação. </w:t>
      </w:r>
    </w:p>
    <w:p w:rsidR="00C60AED" w:rsidRPr="00D1041D" w:rsidRDefault="00C60AED" w:rsidP="00C60AED">
      <w:pPr>
        <w:tabs>
          <w:tab w:val="left" w:pos="-1701"/>
        </w:tabs>
        <w:autoSpaceDE w:val="0"/>
        <w:autoSpaceDN w:val="0"/>
        <w:adjustRightInd w:val="0"/>
        <w:ind w:right="-1"/>
        <w:jc w:val="both"/>
        <w:rPr>
          <w:rFonts w:ascii="Century Gothic" w:hAnsi="Century Gothic"/>
          <w:sz w:val="28"/>
          <w:szCs w:val="28"/>
        </w:rPr>
      </w:pPr>
    </w:p>
    <w:p w:rsidR="00C60AED" w:rsidRPr="00D1041D" w:rsidRDefault="00C60AED" w:rsidP="00C60AED">
      <w:pPr>
        <w:tabs>
          <w:tab w:val="left" w:pos="-1701"/>
        </w:tabs>
        <w:autoSpaceDE w:val="0"/>
        <w:autoSpaceDN w:val="0"/>
        <w:adjustRightInd w:val="0"/>
        <w:ind w:right="-1"/>
        <w:jc w:val="both"/>
        <w:rPr>
          <w:rFonts w:ascii="Century Gothic" w:hAnsi="Century Gothic"/>
          <w:sz w:val="28"/>
          <w:szCs w:val="28"/>
        </w:rPr>
      </w:pPr>
      <w:r w:rsidRPr="00D1041D">
        <w:rPr>
          <w:rFonts w:ascii="Century Gothic" w:hAnsi="Century Gothic" w:cs="Arial"/>
          <w:b/>
          <w:bCs/>
          <w:sz w:val="28"/>
          <w:szCs w:val="28"/>
        </w:rPr>
        <w:t xml:space="preserve">6.21 </w:t>
      </w:r>
      <w:r w:rsidRPr="00D1041D">
        <w:rPr>
          <w:rFonts w:ascii="Century Gothic" w:hAnsi="Century Gothic" w:cs="Arial"/>
          <w:sz w:val="28"/>
          <w:szCs w:val="28"/>
        </w:rPr>
        <w:t xml:space="preserve">– </w:t>
      </w:r>
      <w:r w:rsidRPr="00D1041D">
        <w:rPr>
          <w:rFonts w:ascii="Century Gothic" w:hAnsi="Century Gothic"/>
          <w:sz w:val="28"/>
          <w:szCs w:val="28"/>
        </w:rPr>
        <w:t xml:space="preserve">Havendo redução do valor inicialmente ofertado decorrente de lances e/ou negociação, a licitante vencedora deverá protocolar na </w:t>
      </w:r>
      <w:r w:rsidRPr="00D1041D">
        <w:rPr>
          <w:rFonts w:ascii="Century Gothic" w:hAnsi="Century Gothic" w:cs="Calibri"/>
          <w:b/>
          <w:bCs/>
          <w:sz w:val="28"/>
          <w:szCs w:val="28"/>
        </w:rPr>
        <w:t>Diretoria de Divisão de Compras e Licitações</w:t>
      </w:r>
      <w:r w:rsidRPr="00D1041D">
        <w:rPr>
          <w:rFonts w:ascii="Century Gothic" w:hAnsi="Century Gothic" w:cs="Arial"/>
          <w:sz w:val="28"/>
          <w:szCs w:val="28"/>
        </w:rPr>
        <w:t>, localizada na Praça Doutor Pedro da Rocha Braga n</w:t>
      </w:r>
      <w:r w:rsidRPr="00D1041D">
        <w:rPr>
          <w:rFonts w:ascii="Century Gothic" w:hAnsi="Century Gothic" w:cs="Arial"/>
          <w:bCs/>
          <w:sz w:val="28"/>
          <w:szCs w:val="28"/>
        </w:rPr>
        <w:t xml:space="preserve">° </w:t>
      </w:r>
      <w:r w:rsidRPr="00D1041D">
        <w:rPr>
          <w:rFonts w:ascii="Century Gothic" w:hAnsi="Century Gothic" w:cs="Arial"/>
          <w:sz w:val="28"/>
          <w:szCs w:val="28"/>
        </w:rPr>
        <w:t>116 – Centro – CEP 16.600-000 – Pirajuí – SP</w:t>
      </w:r>
      <w:r w:rsidRPr="00D1041D">
        <w:rPr>
          <w:rFonts w:ascii="Century Gothic" w:hAnsi="Century Gothic"/>
          <w:sz w:val="28"/>
          <w:szCs w:val="28"/>
        </w:rPr>
        <w:t xml:space="preserve">, aos cuidados da Comissão Permanente de Licitações, até o segundo dia útil seguinte contado da data de adjudicação do objeto, os novos preços unitários e total para a aquisição, nos moldes do Anexo III deste Edital, respeitada a proporção de redução dos preços; </w:t>
      </w:r>
    </w:p>
    <w:p w:rsidR="00C60AED" w:rsidRPr="00D1041D" w:rsidRDefault="00C60AED" w:rsidP="00C60AED">
      <w:pPr>
        <w:tabs>
          <w:tab w:val="left" w:pos="-1701"/>
        </w:tabs>
        <w:autoSpaceDE w:val="0"/>
        <w:autoSpaceDN w:val="0"/>
        <w:adjustRightInd w:val="0"/>
        <w:ind w:right="-1"/>
        <w:jc w:val="both"/>
        <w:rPr>
          <w:rFonts w:ascii="Century Gothic" w:hAnsi="Century Gothic"/>
          <w:sz w:val="28"/>
          <w:szCs w:val="28"/>
        </w:rPr>
      </w:pPr>
    </w:p>
    <w:p w:rsidR="00C60AED" w:rsidRPr="00D1041D" w:rsidRDefault="00C60AED" w:rsidP="00C60AED">
      <w:pPr>
        <w:tabs>
          <w:tab w:val="left" w:pos="-1701"/>
        </w:tabs>
        <w:autoSpaceDE w:val="0"/>
        <w:autoSpaceDN w:val="0"/>
        <w:adjustRightInd w:val="0"/>
        <w:ind w:right="-1"/>
        <w:jc w:val="both"/>
        <w:rPr>
          <w:rFonts w:ascii="Century Gothic" w:hAnsi="Century Gothic"/>
          <w:sz w:val="28"/>
          <w:szCs w:val="28"/>
        </w:rPr>
      </w:pPr>
      <w:r w:rsidRPr="00D1041D">
        <w:rPr>
          <w:rFonts w:ascii="Century Gothic" w:hAnsi="Century Gothic" w:cs="Arial"/>
          <w:b/>
          <w:bCs/>
          <w:sz w:val="28"/>
          <w:szCs w:val="28"/>
        </w:rPr>
        <w:t xml:space="preserve">6.21.1 </w:t>
      </w:r>
      <w:r w:rsidRPr="00D1041D">
        <w:rPr>
          <w:rFonts w:ascii="Century Gothic" w:hAnsi="Century Gothic" w:cs="Arial"/>
          <w:sz w:val="28"/>
          <w:szCs w:val="28"/>
        </w:rPr>
        <w:t xml:space="preserve">– </w:t>
      </w:r>
      <w:r w:rsidRPr="00D1041D">
        <w:rPr>
          <w:rFonts w:ascii="Century Gothic" w:hAnsi="Century Gothic"/>
          <w:sz w:val="28"/>
          <w:szCs w:val="28"/>
        </w:rPr>
        <w:t xml:space="preserve">Se a licitante vencedora do certame deixar de cumprir a obrigação estabelecida neste subitem 6.21, no prazo ali mesmo assinalado, os preços unitários finais válidos para a contratação serão apurados por este Município de Pirajuí, com a aplicação do percentual que retrate a redução obtida entre o valor total oferecido na proposta inicial e o valor total final </w:t>
      </w:r>
      <w:r w:rsidRPr="00D1041D">
        <w:rPr>
          <w:rFonts w:ascii="Century Gothic" w:hAnsi="Century Gothic"/>
          <w:sz w:val="28"/>
          <w:szCs w:val="28"/>
        </w:rPr>
        <w:lastRenderedPageBreak/>
        <w:t>obtido no certame, indistintamente, sobre cada um dos preços unitários ofertados na referida proposta.</w:t>
      </w:r>
    </w:p>
    <w:p w:rsidR="00C60AED" w:rsidRPr="00D1041D" w:rsidRDefault="00C60AED" w:rsidP="00C60AED">
      <w:pPr>
        <w:tabs>
          <w:tab w:val="left" w:pos="-1701"/>
        </w:tabs>
        <w:autoSpaceDE w:val="0"/>
        <w:autoSpaceDN w:val="0"/>
        <w:adjustRightInd w:val="0"/>
        <w:ind w:right="-1"/>
        <w:jc w:val="both"/>
        <w:rPr>
          <w:rFonts w:ascii="Century Gothic" w:hAnsi="Century Gothic" w:cs="Arial"/>
          <w:sz w:val="28"/>
          <w:szCs w:val="28"/>
        </w:rPr>
      </w:pPr>
    </w:p>
    <w:p w:rsidR="00C60AED" w:rsidRPr="00D1041D" w:rsidRDefault="00C60AED" w:rsidP="00C60AED">
      <w:pPr>
        <w:tabs>
          <w:tab w:val="left" w:pos="-1701"/>
        </w:tabs>
        <w:autoSpaceDE w:val="0"/>
        <w:autoSpaceDN w:val="0"/>
        <w:adjustRightInd w:val="0"/>
        <w:ind w:right="-1"/>
        <w:jc w:val="both"/>
        <w:outlineLvl w:val="0"/>
        <w:rPr>
          <w:rFonts w:ascii="Century Gothic" w:hAnsi="Century Gothic" w:cs="Arial"/>
          <w:b/>
          <w:bCs/>
          <w:sz w:val="28"/>
          <w:szCs w:val="28"/>
        </w:rPr>
      </w:pPr>
      <w:r w:rsidRPr="00D1041D">
        <w:rPr>
          <w:rFonts w:ascii="Century Gothic" w:hAnsi="Century Gothic" w:cs="Arial"/>
          <w:b/>
          <w:bCs/>
          <w:sz w:val="28"/>
          <w:szCs w:val="28"/>
        </w:rPr>
        <w:t>7 – IMPUGNAÇÃO AO EDITAL, RECURSO, ADJUDICAÇÃO E HOMOLOGAÇÃO</w:t>
      </w:r>
    </w:p>
    <w:p w:rsidR="00C60AED" w:rsidRPr="00D1041D" w:rsidRDefault="00C60AED" w:rsidP="00C60AED">
      <w:pPr>
        <w:tabs>
          <w:tab w:val="left" w:pos="-1701"/>
        </w:tabs>
        <w:autoSpaceDE w:val="0"/>
        <w:autoSpaceDN w:val="0"/>
        <w:adjustRightInd w:val="0"/>
        <w:ind w:right="-1"/>
        <w:jc w:val="both"/>
        <w:rPr>
          <w:rFonts w:ascii="Century Gothic" w:hAnsi="Century Gothic" w:cs="Arial"/>
          <w:b/>
          <w:bCs/>
          <w:sz w:val="28"/>
          <w:szCs w:val="28"/>
        </w:rPr>
      </w:pPr>
    </w:p>
    <w:p w:rsidR="00C60AED" w:rsidRPr="00D1041D" w:rsidRDefault="00C60AED" w:rsidP="00C60AED">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t xml:space="preserve">7.1 </w:t>
      </w:r>
      <w:r w:rsidRPr="00D1041D">
        <w:rPr>
          <w:rFonts w:ascii="Century Gothic" w:hAnsi="Century Gothic" w:cs="Arial"/>
          <w:sz w:val="28"/>
          <w:szCs w:val="28"/>
        </w:rPr>
        <w:t xml:space="preserve">– Até </w:t>
      </w:r>
      <w:r w:rsidRPr="00D1041D">
        <w:rPr>
          <w:rFonts w:ascii="Century Gothic" w:hAnsi="Century Gothic" w:cs="Arial"/>
          <w:b/>
          <w:bCs/>
          <w:sz w:val="28"/>
          <w:szCs w:val="28"/>
        </w:rPr>
        <w:t xml:space="preserve">dois dias úteis </w:t>
      </w:r>
      <w:r w:rsidRPr="00D1041D">
        <w:rPr>
          <w:rFonts w:ascii="Century Gothic" w:hAnsi="Century Gothic" w:cs="Arial"/>
          <w:sz w:val="28"/>
          <w:szCs w:val="28"/>
        </w:rPr>
        <w:t>da data fixada para o recebimento das propostas, qualquer pessoa poderá solicitar esclarecimentos, providências ou impugnar o ato convocatório do Pregão.</w:t>
      </w:r>
    </w:p>
    <w:p w:rsidR="00C60AED" w:rsidRPr="00D1041D" w:rsidRDefault="00C60AED" w:rsidP="00C60AED">
      <w:pPr>
        <w:tabs>
          <w:tab w:val="left" w:pos="-1701"/>
        </w:tabs>
        <w:autoSpaceDE w:val="0"/>
        <w:autoSpaceDN w:val="0"/>
        <w:adjustRightInd w:val="0"/>
        <w:ind w:right="-1"/>
        <w:jc w:val="both"/>
        <w:rPr>
          <w:rFonts w:ascii="Century Gothic" w:hAnsi="Century Gothic" w:cs="Arial"/>
          <w:b/>
          <w:bCs/>
          <w:sz w:val="28"/>
          <w:szCs w:val="28"/>
        </w:rPr>
      </w:pPr>
    </w:p>
    <w:p w:rsidR="00C60AED" w:rsidRPr="00D1041D" w:rsidRDefault="00C60AED" w:rsidP="00C60AED">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t xml:space="preserve">7.2 </w:t>
      </w:r>
      <w:r w:rsidRPr="00D1041D">
        <w:rPr>
          <w:rFonts w:ascii="Century Gothic" w:hAnsi="Century Gothic" w:cs="Arial"/>
          <w:sz w:val="28"/>
          <w:szCs w:val="28"/>
        </w:rPr>
        <w:t xml:space="preserve">– Eventual impugnação deverá ser dirigida ao subscritor deste Edital e </w:t>
      </w:r>
      <w:r w:rsidRPr="00D1041D">
        <w:rPr>
          <w:rFonts w:ascii="Century Gothic" w:hAnsi="Century Gothic" w:cs="Arial"/>
          <w:b/>
          <w:bCs/>
          <w:sz w:val="28"/>
          <w:szCs w:val="28"/>
        </w:rPr>
        <w:t xml:space="preserve">protocolada </w:t>
      </w:r>
      <w:r w:rsidRPr="00D1041D">
        <w:rPr>
          <w:rFonts w:ascii="Century Gothic" w:hAnsi="Century Gothic" w:cs="Arial"/>
          <w:sz w:val="28"/>
          <w:szCs w:val="28"/>
        </w:rPr>
        <w:t>na Seção de Licitações;</w:t>
      </w:r>
    </w:p>
    <w:p w:rsidR="00C60AED" w:rsidRPr="00D1041D" w:rsidRDefault="00C60AED" w:rsidP="00C60AED">
      <w:pPr>
        <w:tabs>
          <w:tab w:val="left" w:pos="-1701"/>
        </w:tabs>
        <w:autoSpaceDE w:val="0"/>
        <w:autoSpaceDN w:val="0"/>
        <w:adjustRightInd w:val="0"/>
        <w:ind w:right="-1"/>
        <w:jc w:val="both"/>
        <w:rPr>
          <w:rFonts w:ascii="Century Gothic" w:hAnsi="Century Gothic" w:cs="Arial"/>
          <w:sz w:val="28"/>
          <w:szCs w:val="28"/>
        </w:rPr>
      </w:pPr>
    </w:p>
    <w:p w:rsidR="00C60AED" w:rsidRPr="00D1041D" w:rsidRDefault="00C60AED" w:rsidP="00C60AED">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b/>
          <w:sz w:val="28"/>
          <w:szCs w:val="28"/>
        </w:rPr>
        <w:t>7.2.1 –</w:t>
      </w:r>
      <w:r w:rsidRPr="00D1041D">
        <w:rPr>
          <w:rFonts w:ascii="Century Gothic" w:hAnsi="Century Gothic"/>
          <w:sz w:val="28"/>
          <w:szCs w:val="28"/>
        </w:rPr>
        <w:t xml:space="preserve"> Admite-se impugnação por intermédio de e-mail (licitacao@pirajui.sp.gov.br), ficando a validade do procedimento condicionada à protocolização do original na </w:t>
      </w:r>
      <w:r w:rsidRPr="00D1041D">
        <w:rPr>
          <w:rFonts w:ascii="Century Gothic" w:hAnsi="Century Gothic" w:cs="Calibri"/>
          <w:b/>
          <w:bCs/>
          <w:sz w:val="28"/>
          <w:szCs w:val="28"/>
        </w:rPr>
        <w:t>Diretoria de Divisão de Compras e Licitações</w:t>
      </w:r>
      <w:r w:rsidRPr="00D1041D">
        <w:rPr>
          <w:rFonts w:ascii="Century Gothic" w:hAnsi="Century Gothic" w:cs="Arial"/>
          <w:sz w:val="28"/>
          <w:szCs w:val="28"/>
        </w:rPr>
        <w:t>, localizada na Praça Doutor Pedro da Rocha Braga n</w:t>
      </w:r>
      <w:r w:rsidRPr="00D1041D">
        <w:rPr>
          <w:rFonts w:ascii="Century Gothic" w:hAnsi="Century Gothic" w:cs="Arial"/>
          <w:bCs/>
          <w:sz w:val="28"/>
          <w:szCs w:val="28"/>
        </w:rPr>
        <w:t xml:space="preserve">° </w:t>
      </w:r>
      <w:r w:rsidRPr="00D1041D">
        <w:rPr>
          <w:rFonts w:ascii="Century Gothic" w:hAnsi="Century Gothic" w:cs="Arial"/>
          <w:sz w:val="28"/>
          <w:szCs w:val="28"/>
        </w:rPr>
        <w:t>116 – Centro – CEP 16.600-000 – Pirajuí – SP,</w:t>
      </w:r>
      <w:r w:rsidRPr="00D1041D">
        <w:rPr>
          <w:rFonts w:ascii="Century Gothic" w:hAnsi="Century Gothic"/>
          <w:sz w:val="28"/>
          <w:szCs w:val="28"/>
        </w:rPr>
        <w:t xml:space="preserve"> no prazo de 48 horas de seu envio</w:t>
      </w:r>
    </w:p>
    <w:p w:rsidR="00C60AED" w:rsidRPr="00D1041D" w:rsidRDefault="00C60AED" w:rsidP="00C60AED">
      <w:pPr>
        <w:tabs>
          <w:tab w:val="left" w:pos="-1701"/>
        </w:tabs>
        <w:autoSpaceDE w:val="0"/>
        <w:autoSpaceDN w:val="0"/>
        <w:adjustRightInd w:val="0"/>
        <w:ind w:right="-1"/>
        <w:jc w:val="both"/>
        <w:rPr>
          <w:rFonts w:ascii="Century Gothic" w:hAnsi="Century Gothic" w:cs="Arial"/>
          <w:sz w:val="28"/>
          <w:szCs w:val="28"/>
        </w:rPr>
      </w:pPr>
    </w:p>
    <w:p w:rsidR="00C60AED" w:rsidRPr="00D1041D" w:rsidRDefault="00C60AED" w:rsidP="00C60AED">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t xml:space="preserve">7.2.2 </w:t>
      </w:r>
      <w:r w:rsidRPr="00D1041D">
        <w:rPr>
          <w:rFonts w:ascii="Century Gothic" w:hAnsi="Century Gothic" w:cs="Arial"/>
          <w:sz w:val="28"/>
          <w:szCs w:val="28"/>
        </w:rPr>
        <w:t>– Acolhida a petição contra o ato convocatório, em despacho fundamentado, será designada nova data para a realização deste certame.</w:t>
      </w:r>
    </w:p>
    <w:p w:rsidR="00C60AED" w:rsidRPr="00D1041D" w:rsidRDefault="00C60AED" w:rsidP="00C60AED">
      <w:pPr>
        <w:tabs>
          <w:tab w:val="left" w:pos="-1701"/>
        </w:tabs>
        <w:autoSpaceDE w:val="0"/>
        <w:autoSpaceDN w:val="0"/>
        <w:adjustRightInd w:val="0"/>
        <w:ind w:right="-1"/>
        <w:jc w:val="both"/>
        <w:rPr>
          <w:rFonts w:ascii="Century Gothic" w:hAnsi="Century Gothic" w:cs="Arial"/>
          <w:sz w:val="28"/>
          <w:szCs w:val="28"/>
        </w:rPr>
      </w:pPr>
    </w:p>
    <w:p w:rsidR="00C60AED" w:rsidRPr="00D1041D" w:rsidRDefault="00C60AED" w:rsidP="00C60AED">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t xml:space="preserve">7.3 </w:t>
      </w:r>
      <w:r w:rsidRPr="00D1041D">
        <w:rPr>
          <w:rFonts w:ascii="Century Gothic" w:hAnsi="Century Gothic" w:cs="Arial"/>
          <w:sz w:val="28"/>
          <w:szCs w:val="28"/>
        </w:rPr>
        <w:t>– A entrega da proposta, sem que tenha sido tempestivamente impugnado este Edital, implicará na plena aceitação, por parte das interessadas, das condições nele estabelecidas.</w:t>
      </w:r>
    </w:p>
    <w:p w:rsidR="00C60AED" w:rsidRPr="00D1041D" w:rsidRDefault="00C60AED" w:rsidP="00C60AED">
      <w:pPr>
        <w:tabs>
          <w:tab w:val="left" w:pos="-1701"/>
        </w:tabs>
        <w:autoSpaceDE w:val="0"/>
        <w:autoSpaceDN w:val="0"/>
        <w:adjustRightInd w:val="0"/>
        <w:ind w:right="-1"/>
        <w:jc w:val="both"/>
        <w:rPr>
          <w:rFonts w:ascii="Century Gothic" w:hAnsi="Century Gothic" w:cs="Arial"/>
          <w:sz w:val="28"/>
          <w:szCs w:val="28"/>
        </w:rPr>
      </w:pPr>
    </w:p>
    <w:p w:rsidR="00C60AED" w:rsidRPr="00D1041D" w:rsidRDefault="00C60AED" w:rsidP="00C60AED">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t xml:space="preserve">7.4 </w:t>
      </w:r>
      <w:r w:rsidRPr="00D1041D">
        <w:rPr>
          <w:rFonts w:ascii="Century Gothic" w:hAnsi="Century Gothic" w:cs="Arial"/>
          <w:sz w:val="28"/>
          <w:szCs w:val="28"/>
        </w:rPr>
        <w:t xml:space="preserve">– Dos atos do Pregoeiro cabem recurso, devendo haver manifestação verbal imediata na própria sessão pública, com o devido registro em ata da síntese da motivação da sua intenção, abrindo-se então o prazo de </w:t>
      </w:r>
      <w:r w:rsidRPr="00D1041D">
        <w:rPr>
          <w:rFonts w:ascii="Century Gothic" w:hAnsi="Century Gothic" w:cs="Arial"/>
          <w:b/>
          <w:bCs/>
          <w:sz w:val="28"/>
          <w:szCs w:val="28"/>
        </w:rPr>
        <w:t xml:space="preserve">três dias </w:t>
      </w:r>
      <w:r w:rsidRPr="00D1041D">
        <w:rPr>
          <w:rFonts w:ascii="Century Gothic" w:hAnsi="Century Gothic" w:cs="Arial"/>
          <w:sz w:val="28"/>
          <w:szCs w:val="28"/>
        </w:rPr>
        <w:t xml:space="preserve">que começará a correr a partir do dia em que houver expediente neste Município de </w:t>
      </w:r>
      <w:r w:rsidRPr="00D1041D">
        <w:rPr>
          <w:rFonts w:ascii="Century Gothic" w:hAnsi="Century Gothic" w:cs="Arial"/>
          <w:bCs/>
          <w:sz w:val="28"/>
          <w:szCs w:val="28"/>
        </w:rPr>
        <w:t>Pirajuí</w:t>
      </w:r>
      <w:r w:rsidRPr="00D1041D">
        <w:rPr>
          <w:rFonts w:ascii="Century Gothic" w:hAnsi="Century Gothic" w:cs="Arial"/>
          <w:sz w:val="28"/>
          <w:szCs w:val="28"/>
        </w:rPr>
        <w:t xml:space="preserve"> para a apresentação das razões, por meio de memoriais, ficando os demais licitantes, desde logo, intimados para apresentar contra-razões, em igual número de dias, que começarão a correr no término do prazo do recorrente, sendo-lhes assegurada vista imediata dos autos;</w:t>
      </w:r>
    </w:p>
    <w:p w:rsidR="00C60AED" w:rsidRPr="00D1041D" w:rsidRDefault="00C60AED" w:rsidP="00C60AED">
      <w:pPr>
        <w:tabs>
          <w:tab w:val="left" w:pos="-1701"/>
        </w:tabs>
        <w:autoSpaceDE w:val="0"/>
        <w:autoSpaceDN w:val="0"/>
        <w:adjustRightInd w:val="0"/>
        <w:ind w:right="-1"/>
        <w:jc w:val="both"/>
        <w:rPr>
          <w:rFonts w:ascii="Century Gothic" w:hAnsi="Century Gothic" w:cs="Arial"/>
          <w:sz w:val="28"/>
          <w:szCs w:val="28"/>
        </w:rPr>
      </w:pPr>
    </w:p>
    <w:p w:rsidR="00C60AED" w:rsidRPr="00D1041D" w:rsidRDefault="00C60AED" w:rsidP="00C60AED">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lastRenderedPageBreak/>
        <w:t xml:space="preserve">7.4.1 </w:t>
      </w:r>
      <w:r w:rsidRPr="00D1041D">
        <w:rPr>
          <w:rFonts w:ascii="Century Gothic" w:hAnsi="Century Gothic" w:cs="Arial"/>
          <w:sz w:val="28"/>
          <w:szCs w:val="28"/>
        </w:rPr>
        <w:t xml:space="preserve">– Na hipótese de interposição de recurso, o Pregoeiro encaminhará os autos devidamente fundamentado à autoridade competente; </w:t>
      </w:r>
    </w:p>
    <w:p w:rsidR="00C60AED" w:rsidRPr="00D1041D" w:rsidRDefault="00C60AED" w:rsidP="00C60AED">
      <w:pPr>
        <w:tabs>
          <w:tab w:val="left" w:pos="-1701"/>
        </w:tabs>
        <w:autoSpaceDE w:val="0"/>
        <w:autoSpaceDN w:val="0"/>
        <w:adjustRightInd w:val="0"/>
        <w:ind w:right="-1"/>
        <w:jc w:val="both"/>
        <w:rPr>
          <w:rFonts w:ascii="Century Gothic" w:hAnsi="Century Gothic" w:cs="Arial"/>
          <w:b/>
          <w:bCs/>
          <w:sz w:val="28"/>
          <w:szCs w:val="28"/>
        </w:rPr>
      </w:pPr>
    </w:p>
    <w:p w:rsidR="00C60AED" w:rsidRPr="00D1041D" w:rsidRDefault="00C60AED" w:rsidP="00C60AED">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t xml:space="preserve">7.4.2 </w:t>
      </w:r>
      <w:r w:rsidRPr="00D1041D">
        <w:rPr>
          <w:rFonts w:ascii="Century Gothic" w:hAnsi="Century Gothic" w:cs="Arial"/>
          <w:sz w:val="28"/>
          <w:szCs w:val="28"/>
        </w:rPr>
        <w:t xml:space="preserve">– O recurso contra decisão do Pregoeiro terá efeito suspensivo e o seu acolhimento resultará na invalidação apenas dos atos insuscetíveis de aproveitamento; </w:t>
      </w:r>
    </w:p>
    <w:p w:rsidR="00C60AED" w:rsidRPr="00D1041D" w:rsidRDefault="00C60AED" w:rsidP="00C60AED">
      <w:pPr>
        <w:tabs>
          <w:tab w:val="left" w:pos="-1701"/>
        </w:tabs>
        <w:autoSpaceDE w:val="0"/>
        <w:autoSpaceDN w:val="0"/>
        <w:adjustRightInd w:val="0"/>
        <w:ind w:right="-1"/>
        <w:jc w:val="both"/>
        <w:rPr>
          <w:rFonts w:ascii="Century Gothic" w:hAnsi="Century Gothic" w:cs="Arial"/>
          <w:b/>
          <w:bCs/>
          <w:sz w:val="28"/>
          <w:szCs w:val="28"/>
        </w:rPr>
      </w:pPr>
    </w:p>
    <w:p w:rsidR="00C60AED" w:rsidRPr="00D1041D" w:rsidRDefault="00C60AED" w:rsidP="00C60AED">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t xml:space="preserve">7.4.3 </w:t>
      </w:r>
      <w:r w:rsidRPr="00D1041D">
        <w:rPr>
          <w:rFonts w:ascii="Century Gothic" w:hAnsi="Century Gothic" w:cs="Arial"/>
          <w:sz w:val="28"/>
          <w:szCs w:val="28"/>
        </w:rPr>
        <w:t xml:space="preserve">– Os recursos devem ser protocolados na </w:t>
      </w:r>
      <w:r w:rsidRPr="00D1041D">
        <w:rPr>
          <w:rFonts w:ascii="Century Gothic" w:hAnsi="Century Gothic" w:cs="Calibri"/>
          <w:b/>
          <w:bCs/>
          <w:sz w:val="28"/>
          <w:szCs w:val="28"/>
        </w:rPr>
        <w:t>Diretoria de Divisão de Compras e Licitações</w:t>
      </w:r>
      <w:r w:rsidRPr="00D1041D">
        <w:rPr>
          <w:rFonts w:ascii="Century Gothic" w:hAnsi="Century Gothic" w:cs="Arial"/>
          <w:sz w:val="28"/>
          <w:szCs w:val="28"/>
        </w:rPr>
        <w:t>, localizada na Praça Doutor Pedro da Rocha Braga n</w:t>
      </w:r>
      <w:r w:rsidRPr="00D1041D">
        <w:rPr>
          <w:rFonts w:ascii="Century Gothic" w:hAnsi="Century Gothic" w:cs="Arial"/>
          <w:bCs/>
          <w:sz w:val="28"/>
          <w:szCs w:val="28"/>
        </w:rPr>
        <w:t xml:space="preserve">° </w:t>
      </w:r>
      <w:r w:rsidRPr="00D1041D">
        <w:rPr>
          <w:rFonts w:ascii="Century Gothic" w:hAnsi="Century Gothic" w:cs="Arial"/>
          <w:sz w:val="28"/>
          <w:szCs w:val="28"/>
        </w:rPr>
        <w:t xml:space="preserve">116 – Centro – CEP 16.600-000 – Pirajuí – SP, aos cuidados da Comissão Permanente de Licitações e dirigidos ao Prefeito Municipal. </w:t>
      </w:r>
    </w:p>
    <w:p w:rsidR="00C60AED" w:rsidRPr="00D1041D" w:rsidRDefault="00C60AED" w:rsidP="00C60AED">
      <w:pPr>
        <w:tabs>
          <w:tab w:val="left" w:pos="-1701"/>
        </w:tabs>
        <w:autoSpaceDE w:val="0"/>
        <w:autoSpaceDN w:val="0"/>
        <w:adjustRightInd w:val="0"/>
        <w:ind w:right="-1"/>
        <w:jc w:val="both"/>
        <w:rPr>
          <w:rFonts w:ascii="Century Gothic" w:hAnsi="Century Gothic" w:cs="Arial"/>
          <w:sz w:val="28"/>
          <w:szCs w:val="28"/>
        </w:rPr>
      </w:pPr>
    </w:p>
    <w:p w:rsidR="00C60AED" w:rsidRPr="00D1041D" w:rsidRDefault="00C60AED" w:rsidP="00C60AED">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t xml:space="preserve">7.4.4 </w:t>
      </w:r>
      <w:r w:rsidRPr="00D1041D">
        <w:rPr>
          <w:rFonts w:ascii="Century Gothic" w:hAnsi="Century Gothic" w:cs="Arial"/>
          <w:bCs/>
          <w:sz w:val="28"/>
          <w:szCs w:val="28"/>
        </w:rPr>
        <w:t xml:space="preserve">– </w:t>
      </w:r>
      <w:r w:rsidRPr="00D1041D">
        <w:rPr>
          <w:rFonts w:ascii="Century Gothic" w:hAnsi="Century Gothic" w:cs="Arial"/>
          <w:sz w:val="28"/>
          <w:szCs w:val="28"/>
        </w:rPr>
        <w:t>Admite-se recursos por intermédio de e-mail (</w:t>
      </w:r>
      <w:hyperlink r:id="rId8" w:history="1">
        <w:r w:rsidRPr="00D1041D">
          <w:rPr>
            <w:rStyle w:val="Hyperlink"/>
            <w:rFonts w:ascii="Century Gothic" w:hAnsi="Century Gothic" w:cs="Tahoma"/>
            <w:iCs/>
            <w:color w:val="auto"/>
            <w:sz w:val="28"/>
            <w:szCs w:val="28"/>
            <w:u w:val="none"/>
            <w:shd w:val="clear" w:color="auto" w:fill="FFFFFF"/>
          </w:rPr>
          <w:t>licitacao@pirajui.sp.gov.br</w:t>
        </w:r>
      </w:hyperlink>
      <w:r w:rsidRPr="00D1041D">
        <w:rPr>
          <w:rFonts w:ascii="Century Gothic" w:hAnsi="Century Gothic" w:cs="Arial"/>
          <w:sz w:val="28"/>
          <w:szCs w:val="28"/>
        </w:rPr>
        <w:t xml:space="preserve">), ficando a validade do procedimento condicionada à protocolização do original, na respectiva </w:t>
      </w:r>
      <w:r w:rsidRPr="00D1041D">
        <w:rPr>
          <w:rFonts w:ascii="Century Gothic" w:hAnsi="Century Gothic" w:cs="Calibri"/>
          <w:b/>
          <w:bCs/>
          <w:sz w:val="28"/>
          <w:szCs w:val="28"/>
        </w:rPr>
        <w:t>Diretoria de Divisão de Compras e Licitações</w:t>
      </w:r>
      <w:r w:rsidRPr="00D1041D">
        <w:rPr>
          <w:rFonts w:ascii="Century Gothic" w:hAnsi="Century Gothic" w:cs="Arial"/>
          <w:sz w:val="28"/>
          <w:szCs w:val="28"/>
        </w:rPr>
        <w:t>, localizada na Praça Doutor Pedro da Rocha Braga n</w:t>
      </w:r>
      <w:r w:rsidRPr="00D1041D">
        <w:rPr>
          <w:rFonts w:ascii="Century Gothic" w:hAnsi="Century Gothic" w:cs="Arial"/>
          <w:bCs/>
          <w:sz w:val="28"/>
          <w:szCs w:val="28"/>
        </w:rPr>
        <w:t xml:space="preserve">° </w:t>
      </w:r>
      <w:r w:rsidRPr="00D1041D">
        <w:rPr>
          <w:rFonts w:ascii="Century Gothic" w:hAnsi="Century Gothic" w:cs="Arial"/>
          <w:sz w:val="28"/>
          <w:szCs w:val="28"/>
        </w:rPr>
        <w:t xml:space="preserve">116 – Centro – CEP 16.600-000 – Pirajuí – SP, no prazo de </w:t>
      </w:r>
      <w:r w:rsidRPr="00D1041D">
        <w:rPr>
          <w:rFonts w:ascii="Century Gothic" w:hAnsi="Century Gothic" w:cs="Arial"/>
          <w:b/>
          <w:bCs/>
          <w:sz w:val="28"/>
          <w:szCs w:val="28"/>
        </w:rPr>
        <w:t>48 horas</w:t>
      </w:r>
      <w:r w:rsidRPr="00D1041D">
        <w:rPr>
          <w:rFonts w:ascii="Century Gothic" w:hAnsi="Century Gothic" w:cs="Arial"/>
          <w:sz w:val="28"/>
          <w:szCs w:val="28"/>
        </w:rPr>
        <w:t xml:space="preserve">. </w:t>
      </w:r>
    </w:p>
    <w:p w:rsidR="00C60AED" w:rsidRPr="00D1041D" w:rsidRDefault="00C60AED" w:rsidP="00C60AED">
      <w:pPr>
        <w:tabs>
          <w:tab w:val="left" w:pos="-1701"/>
        </w:tabs>
        <w:autoSpaceDE w:val="0"/>
        <w:autoSpaceDN w:val="0"/>
        <w:adjustRightInd w:val="0"/>
        <w:ind w:right="-1"/>
        <w:jc w:val="both"/>
        <w:rPr>
          <w:rFonts w:ascii="Century Gothic" w:hAnsi="Century Gothic" w:cs="Arial"/>
          <w:sz w:val="28"/>
          <w:szCs w:val="28"/>
        </w:rPr>
      </w:pPr>
    </w:p>
    <w:p w:rsidR="00C60AED" w:rsidRPr="00D1041D" w:rsidRDefault="00C60AED" w:rsidP="00C60AED">
      <w:pPr>
        <w:tabs>
          <w:tab w:val="left" w:pos="-1701"/>
        </w:tabs>
        <w:autoSpaceDE w:val="0"/>
        <w:autoSpaceDN w:val="0"/>
        <w:adjustRightInd w:val="0"/>
        <w:ind w:right="-1"/>
        <w:jc w:val="both"/>
        <w:rPr>
          <w:rFonts w:ascii="Century Gothic" w:hAnsi="Century Gothic"/>
          <w:sz w:val="28"/>
          <w:szCs w:val="28"/>
        </w:rPr>
      </w:pPr>
      <w:r w:rsidRPr="00D1041D">
        <w:rPr>
          <w:rFonts w:ascii="Century Gothic" w:hAnsi="Century Gothic"/>
          <w:b/>
          <w:sz w:val="28"/>
          <w:szCs w:val="28"/>
        </w:rPr>
        <w:t>7.5 –</w:t>
      </w:r>
      <w:r w:rsidRPr="00D1041D">
        <w:rPr>
          <w:rFonts w:ascii="Century Gothic" w:hAnsi="Century Gothic"/>
          <w:sz w:val="28"/>
          <w:szCs w:val="28"/>
        </w:rPr>
        <w:t xml:space="preserve"> Uma vez decididos os recursos administrativos eventualmente interpostos e, constatada a regularidade dos atos praticados, a autoridade competente, no interesse público, adjudicará o objeto do certame ao licitante vencedor e homologará o procedimento licitatório. </w:t>
      </w:r>
    </w:p>
    <w:p w:rsidR="00C60AED" w:rsidRPr="00D1041D" w:rsidRDefault="00C60AED" w:rsidP="00C60AED">
      <w:pPr>
        <w:tabs>
          <w:tab w:val="left" w:pos="-1701"/>
        </w:tabs>
        <w:autoSpaceDE w:val="0"/>
        <w:autoSpaceDN w:val="0"/>
        <w:adjustRightInd w:val="0"/>
        <w:ind w:right="-1"/>
        <w:jc w:val="both"/>
        <w:rPr>
          <w:rFonts w:ascii="Century Gothic" w:hAnsi="Century Gothic"/>
          <w:sz w:val="28"/>
          <w:szCs w:val="28"/>
        </w:rPr>
      </w:pPr>
    </w:p>
    <w:p w:rsidR="00C60AED" w:rsidRPr="00D1041D" w:rsidRDefault="00C60AED" w:rsidP="00C60AED">
      <w:pPr>
        <w:tabs>
          <w:tab w:val="left" w:pos="-1701"/>
        </w:tabs>
        <w:autoSpaceDE w:val="0"/>
        <w:autoSpaceDN w:val="0"/>
        <w:adjustRightInd w:val="0"/>
        <w:ind w:right="-1"/>
        <w:jc w:val="both"/>
        <w:rPr>
          <w:rFonts w:ascii="Century Gothic" w:hAnsi="Century Gothic"/>
          <w:sz w:val="28"/>
          <w:szCs w:val="28"/>
        </w:rPr>
      </w:pPr>
      <w:r w:rsidRPr="00D1041D">
        <w:rPr>
          <w:rFonts w:ascii="Century Gothic" w:hAnsi="Century Gothic"/>
          <w:b/>
          <w:sz w:val="28"/>
          <w:szCs w:val="28"/>
        </w:rPr>
        <w:t>7.6 –</w:t>
      </w:r>
      <w:r w:rsidRPr="00D1041D">
        <w:rPr>
          <w:rFonts w:ascii="Century Gothic" w:hAnsi="Century Gothic"/>
          <w:sz w:val="28"/>
          <w:szCs w:val="28"/>
        </w:rPr>
        <w:t xml:space="preserve"> A ausência de manifestação imediata e motivada pelo licitante na sessão pública importará na decadência do direito de recurso, na adjudicação do objeto do certame ao licitante vencedor e no encaminhamento do processo à autoridade competente para a homologação.</w:t>
      </w:r>
    </w:p>
    <w:p w:rsidR="00C60AED" w:rsidRPr="00D1041D" w:rsidRDefault="00C60AED" w:rsidP="00C60AED">
      <w:pPr>
        <w:tabs>
          <w:tab w:val="left" w:pos="-1701"/>
        </w:tabs>
        <w:autoSpaceDE w:val="0"/>
        <w:autoSpaceDN w:val="0"/>
        <w:adjustRightInd w:val="0"/>
        <w:ind w:right="-1"/>
        <w:jc w:val="both"/>
        <w:rPr>
          <w:rFonts w:ascii="Century Gothic" w:hAnsi="Century Gothic" w:cs="Arial"/>
          <w:sz w:val="28"/>
          <w:szCs w:val="28"/>
        </w:rPr>
      </w:pPr>
    </w:p>
    <w:p w:rsidR="00C60AED" w:rsidRPr="00D1041D" w:rsidRDefault="00C60AED" w:rsidP="00C60AED">
      <w:pPr>
        <w:tabs>
          <w:tab w:val="left" w:pos="-1701"/>
        </w:tabs>
        <w:autoSpaceDE w:val="0"/>
        <w:autoSpaceDN w:val="0"/>
        <w:adjustRightInd w:val="0"/>
        <w:ind w:right="-1"/>
        <w:jc w:val="both"/>
        <w:outlineLvl w:val="0"/>
        <w:rPr>
          <w:rFonts w:ascii="Century Gothic" w:hAnsi="Century Gothic" w:cs="Arial"/>
          <w:b/>
          <w:bCs/>
          <w:sz w:val="28"/>
          <w:szCs w:val="28"/>
        </w:rPr>
      </w:pPr>
      <w:r w:rsidRPr="00D1041D">
        <w:rPr>
          <w:rFonts w:ascii="Century Gothic" w:hAnsi="Century Gothic" w:cs="Arial"/>
          <w:b/>
          <w:bCs/>
          <w:sz w:val="28"/>
          <w:szCs w:val="28"/>
        </w:rPr>
        <w:t>8 – DA CONTRATAÇÃO</w:t>
      </w:r>
    </w:p>
    <w:p w:rsidR="00C60AED" w:rsidRPr="00D1041D" w:rsidRDefault="00C60AED" w:rsidP="00C60AED">
      <w:pPr>
        <w:tabs>
          <w:tab w:val="left" w:pos="-1701"/>
        </w:tabs>
        <w:autoSpaceDE w:val="0"/>
        <w:autoSpaceDN w:val="0"/>
        <w:adjustRightInd w:val="0"/>
        <w:ind w:right="-1"/>
        <w:jc w:val="both"/>
        <w:rPr>
          <w:rFonts w:ascii="Century Gothic" w:hAnsi="Century Gothic" w:cs="Arial"/>
          <w:b/>
          <w:bCs/>
          <w:sz w:val="28"/>
          <w:szCs w:val="28"/>
        </w:rPr>
      </w:pPr>
    </w:p>
    <w:p w:rsidR="00C60AED" w:rsidRPr="00D1041D" w:rsidRDefault="00C60AED" w:rsidP="00C60AED">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t xml:space="preserve">8.1 </w:t>
      </w:r>
      <w:r w:rsidRPr="00D1041D">
        <w:rPr>
          <w:rFonts w:ascii="Century Gothic" w:hAnsi="Century Gothic" w:cs="Arial"/>
          <w:sz w:val="28"/>
          <w:szCs w:val="28"/>
        </w:rPr>
        <w:t>– A contratação decorrente desta licitação será formalizada mediante celebração de termo de contrato, cuja minuta integra este Edital como Anexo IV;</w:t>
      </w:r>
    </w:p>
    <w:p w:rsidR="00C60AED" w:rsidRPr="00D1041D" w:rsidRDefault="00C60AED" w:rsidP="00C60AED">
      <w:pPr>
        <w:tabs>
          <w:tab w:val="left" w:pos="-1701"/>
        </w:tabs>
        <w:autoSpaceDE w:val="0"/>
        <w:autoSpaceDN w:val="0"/>
        <w:adjustRightInd w:val="0"/>
        <w:ind w:right="-1"/>
        <w:jc w:val="both"/>
        <w:rPr>
          <w:rFonts w:ascii="Century Gothic" w:hAnsi="Century Gothic" w:cs="Arial"/>
          <w:b/>
          <w:bCs/>
          <w:sz w:val="28"/>
          <w:szCs w:val="28"/>
        </w:rPr>
      </w:pPr>
    </w:p>
    <w:p w:rsidR="00C60AED" w:rsidRPr="00D1041D" w:rsidRDefault="00C60AED" w:rsidP="00C60AED">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lastRenderedPageBreak/>
        <w:t xml:space="preserve">8.1.1 </w:t>
      </w:r>
      <w:r w:rsidRPr="00D1041D">
        <w:rPr>
          <w:rFonts w:ascii="Century Gothic" w:hAnsi="Century Gothic" w:cs="Arial"/>
          <w:sz w:val="28"/>
          <w:szCs w:val="28"/>
        </w:rPr>
        <w:t xml:space="preserve">– Se, por ocasião da formalização do contrato, as certidões de regularidade de débito do adjudicatário perante o Sistema de Seguridade Social (INSS), o Fundo de Garantia por Tempo de Serviço (FGTS) e a Fazenda Nacional, estiverem com os prazos de validade vencidos, este </w:t>
      </w:r>
      <w:r w:rsidRPr="00D1041D">
        <w:rPr>
          <w:rFonts w:ascii="Century Gothic" w:hAnsi="Century Gothic"/>
          <w:sz w:val="28"/>
          <w:szCs w:val="28"/>
        </w:rPr>
        <w:t xml:space="preserve">Município de Pirajuí </w:t>
      </w:r>
      <w:r w:rsidRPr="00D1041D">
        <w:rPr>
          <w:rFonts w:ascii="Century Gothic" w:hAnsi="Century Gothic" w:cs="Arial"/>
          <w:sz w:val="28"/>
          <w:szCs w:val="28"/>
        </w:rPr>
        <w:t>verificará a situação por meio eletrônico hábil de informações, certificando nos autos do processo a regularidade e anexando os documentos passíveis de obtenção por tais meios, salvo impossibilidade devidamente justificada;</w:t>
      </w:r>
    </w:p>
    <w:p w:rsidR="00C60AED" w:rsidRPr="00D1041D" w:rsidRDefault="00C60AED" w:rsidP="00C60AED">
      <w:pPr>
        <w:tabs>
          <w:tab w:val="left" w:pos="-1701"/>
        </w:tabs>
        <w:autoSpaceDE w:val="0"/>
        <w:autoSpaceDN w:val="0"/>
        <w:adjustRightInd w:val="0"/>
        <w:ind w:right="-1"/>
        <w:jc w:val="both"/>
        <w:rPr>
          <w:rFonts w:ascii="Century Gothic" w:hAnsi="Century Gothic" w:cs="Arial"/>
          <w:b/>
          <w:bCs/>
          <w:sz w:val="28"/>
          <w:szCs w:val="28"/>
        </w:rPr>
      </w:pPr>
    </w:p>
    <w:p w:rsidR="00C60AED" w:rsidRPr="00D1041D" w:rsidRDefault="00C60AED" w:rsidP="00C60AED">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t xml:space="preserve">8.1.2 </w:t>
      </w:r>
      <w:r w:rsidRPr="00D1041D">
        <w:rPr>
          <w:rFonts w:ascii="Century Gothic" w:hAnsi="Century Gothic" w:cs="Arial"/>
          <w:sz w:val="28"/>
          <w:szCs w:val="28"/>
        </w:rPr>
        <w:t xml:space="preserve">– Se não for possível atualizá-las por meio eletrônico hábil de informações, o adjudicatário será notificado para, no prazo de </w:t>
      </w:r>
      <w:r w:rsidRPr="00D1041D">
        <w:rPr>
          <w:rFonts w:ascii="Century Gothic" w:hAnsi="Century Gothic" w:cs="Arial"/>
          <w:b/>
          <w:bCs/>
          <w:sz w:val="28"/>
          <w:szCs w:val="28"/>
        </w:rPr>
        <w:t>dois dias úteis</w:t>
      </w:r>
      <w:r w:rsidRPr="00D1041D">
        <w:rPr>
          <w:rFonts w:ascii="Century Gothic" w:hAnsi="Century Gothic" w:cs="Arial"/>
          <w:sz w:val="28"/>
          <w:szCs w:val="28"/>
        </w:rPr>
        <w:t>, comprovar a situação de regularidade de que trata o subitem 8.1.1 anterior, mediante a apresentação das certidões respectivas com prazos de validade em vigência, sob pena da contratação não se realizar;</w:t>
      </w:r>
    </w:p>
    <w:p w:rsidR="00C60AED" w:rsidRDefault="00C60AED" w:rsidP="00C60AED">
      <w:pPr>
        <w:tabs>
          <w:tab w:val="left" w:pos="-1701"/>
        </w:tabs>
        <w:autoSpaceDE w:val="0"/>
        <w:autoSpaceDN w:val="0"/>
        <w:adjustRightInd w:val="0"/>
        <w:ind w:right="-1"/>
        <w:jc w:val="both"/>
        <w:rPr>
          <w:rFonts w:ascii="Century Gothic" w:hAnsi="Century Gothic" w:cs="Arial"/>
          <w:b/>
          <w:bCs/>
          <w:sz w:val="28"/>
          <w:szCs w:val="28"/>
        </w:rPr>
      </w:pPr>
    </w:p>
    <w:p w:rsidR="00C60AED" w:rsidRPr="00D1041D" w:rsidRDefault="00C60AED" w:rsidP="00C60AED">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t xml:space="preserve">8.1.3 </w:t>
      </w:r>
      <w:r w:rsidRPr="00D1041D">
        <w:rPr>
          <w:rFonts w:ascii="Century Gothic" w:hAnsi="Century Gothic" w:cs="Arial"/>
          <w:sz w:val="28"/>
          <w:szCs w:val="28"/>
        </w:rPr>
        <w:t xml:space="preserve">– O adjudicatário deverá assinar o instrumento de contrato, no prazo de </w:t>
      </w:r>
      <w:r w:rsidRPr="00D1041D">
        <w:rPr>
          <w:rFonts w:ascii="Century Gothic" w:hAnsi="Century Gothic" w:cs="Arial"/>
          <w:b/>
          <w:bCs/>
          <w:sz w:val="28"/>
          <w:szCs w:val="28"/>
        </w:rPr>
        <w:t xml:space="preserve">cinco dias úteis </w:t>
      </w:r>
      <w:r w:rsidRPr="00D1041D">
        <w:rPr>
          <w:rFonts w:ascii="Century Gothic" w:hAnsi="Century Gothic" w:cs="Arial"/>
          <w:sz w:val="28"/>
          <w:szCs w:val="28"/>
        </w:rPr>
        <w:t>contados da data da convocação;</w:t>
      </w:r>
    </w:p>
    <w:p w:rsidR="00C60AED" w:rsidRPr="00D1041D" w:rsidRDefault="00C60AED" w:rsidP="00C60AED">
      <w:pPr>
        <w:tabs>
          <w:tab w:val="left" w:pos="-1701"/>
        </w:tabs>
        <w:autoSpaceDE w:val="0"/>
        <w:autoSpaceDN w:val="0"/>
        <w:adjustRightInd w:val="0"/>
        <w:ind w:right="-1"/>
        <w:jc w:val="both"/>
        <w:rPr>
          <w:rFonts w:ascii="Century Gothic" w:hAnsi="Century Gothic" w:cs="Arial"/>
          <w:sz w:val="28"/>
          <w:szCs w:val="28"/>
        </w:rPr>
      </w:pPr>
    </w:p>
    <w:p w:rsidR="00C60AED" w:rsidRPr="00D1041D" w:rsidRDefault="00C60AED" w:rsidP="00C60AED">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t xml:space="preserve">8.1.4 </w:t>
      </w:r>
      <w:r w:rsidRPr="00D1041D">
        <w:rPr>
          <w:rFonts w:ascii="Century Gothic" w:hAnsi="Century Gothic" w:cs="Arial"/>
          <w:sz w:val="28"/>
          <w:szCs w:val="28"/>
        </w:rPr>
        <w:t>– Quando o adjudicatário, convocado dentro do prazo de validade de sua proposta, não apresentar a situação regular de que trata o subitem 8.1.2, ou se recusar a celebrar a contratação, será convocado outro licitante na ordem de classificação das ofertas, e assim sucessivamente, com vistas à celebração da contratação.</w:t>
      </w:r>
    </w:p>
    <w:p w:rsidR="00C60AED" w:rsidRPr="00D1041D" w:rsidRDefault="00C60AED" w:rsidP="00C60AED">
      <w:pPr>
        <w:tabs>
          <w:tab w:val="left" w:pos="-1701"/>
        </w:tabs>
        <w:autoSpaceDE w:val="0"/>
        <w:autoSpaceDN w:val="0"/>
        <w:adjustRightInd w:val="0"/>
        <w:ind w:right="-1"/>
        <w:jc w:val="both"/>
        <w:rPr>
          <w:rFonts w:ascii="Century Gothic" w:hAnsi="Century Gothic" w:cs="Arial"/>
          <w:sz w:val="28"/>
          <w:szCs w:val="28"/>
        </w:rPr>
      </w:pPr>
    </w:p>
    <w:p w:rsidR="00C60AED" w:rsidRPr="00D1041D" w:rsidRDefault="00C60AED" w:rsidP="00C60AED">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t xml:space="preserve">8.2 </w:t>
      </w:r>
      <w:r w:rsidRPr="00D1041D">
        <w:rPr>
          <w:rFonts w:ascii="Century Gothic" w:hAnsi="Century Gothic" w:cs="Arial"/>
          <w:sz w:val="28"/>
          <w:szCs w:val="28"/>
        </w:rPr>
        <w:t>– A empresa contratada se obriga a manter, durante toda a execução do contrato, compatibilidade com as obrigações assumidas, assim como todas as condições de habilitação e qualificação exigidas na licitação, apresentando documentação revalidada se, no curso do contrato, algum documento perder a validade.</w:t>
      </w:r>
    </w:p>
    <w:p w:rsidR="00C60AED" w:rsidRPr="00D1041D" w:rsidRDefault="00C60AED" w:rsidP="00C60AED">
      <w:pPr>
        <w:autoSpaceDE w:val="0"/>
        <w:autoSpaceDN w:val="0"/>
        <w:adjustRightInd w:val="0"/>
        <w:jc w:val="both"/>
        <w:rPr>
          <w:rFonts w:ascii="Century Gothic" w:hAnsi="Century Gothic" w:cs="Arial"/>
          <w:sz w:val="28"/>
          <w:szCs w:val="28"/>
        </w:rPr>
      </w:pPr>
    </w:p>
    <w:p w:rsidR="00C60AED" w:rsidRPr="00D1041D" w:rsidRDefault="00C60AED" w:rsidP="00C60AED">
      <w:pPr>
        <w:autoSpaceDE w:val="0"/>
        <w:autoSpaceDN w:val="0"/>
        <w:adjustRightInd w:val="0"/>
        <w:jc w:val="both"/>
        <w:rPr>
          <w:rFonts w:ascii="Century Gothic" w:hAnsi="Century Gothic" w:cs="Arial"/>
          <w:b/>
          <w:bCs/>
          <w:sz w:val="28"/>
          <w:szCs w:val="28"/>
        </w:rPr>
      </w:pPr>
      <w:r w:rsidRPr="00D1041D">
        <w:rPr>
          <w:rFonts w:ascii="Century Gothic" w:hAnsi="Century Gothic" w:cs="Arial"/>
          <w:b/>
          <w:bCs/>
          <w:sz w:val="28"/>
          <w:szCs w:val="28"/>
        </w:rPr>
        <w:t>9 – DOS PRAZOS E DAS CONDIÇÕES DE ENTREGA</w:t>
      </w:r>
    </w:p>
    <w:p w:rsidR="00C60AED" w:rsidRPr="00D1041D" w:rsidRDefault="00C60AED" w:rsidP="00C60AED">
      <w:pPr>
        <w:autoSpaceDE w:val="0"/>
        <w:autoSpaceDN w:val="0"/>
        <w:adjustRightInd w:val="0"/>
        <w:jc w:val="both"/>
        <w:rPr>
          <w:rFonts w:ascii="Century Gothic" w:hAnsi="Century Gothic" w:cs="Arial"/>
          <w:b/>
          <w:bCs/>
          <w:sz w:val="28"/>
          <w:szCs w:val="28"/>
        </w:rPr>
      </w:pPr>
    </w:p>
    <w:p w:rsidR="00B676E0" w:rsidRPr="00145DF5" w:rsidRDefault="00C60AED" w:rsidP="00C60AED">
      <w:pPr>
        <w:autoSpaceDE w:val="0"/>
        <w:autoSpaceDN w:val="0"/>
        <w:adjustRightInd w:val="0"/>
        <w:jc w:val="both"/>
        <w:rPr>
          <w:rFonts w:ascii="Century Gothic" w:hAnsi="Century Gothic" w:cs="Arial"/>
          <w:sz w:val="28"/>
          <w:szCs w:val="28"/>
        </w:rPr>
      </w:pPr>
      <w:r w:rsidRPr="00D1041D">
        <w:rPr>
          <w:rFonts w:ascii="Century Gothic" w:hAnsi="Century Gothic" w:cs="Arial"/>
          <w:b/>
          <w:bCs/>
          <w:sz w:val="28"/>
          <w:szCs w:val="28"/>
        </w:rPr>
        <w:t>9.1</w:t>
      </w:r>
      <w:r w:rsidRPr="00D1041D">
        <w:rPr>
          <w:rFonts w:ascii="Century Gothic" w:hAnsi="Century Gothic" w:cs="Arial"/>
          <w:sz w:val="28"/>
          <w:szCs w:val="28"/>
        </w:rPr>
        <w:t xml:space="preserve"> – As entregas previstas deverão atender aos pedidos formulados pelo Município de Pirajuí, e deverão ocorrer no prazo máximo de </w:t>
      </w:r>
      <w:r w:rsidRPr="00D1041D">
        <w:rPr>
          <w:rFonts w:ascii="Century Gothic" w:hAnsi="Century Gothic"/>
          <w:b/>
          <w:sz w:val="28"/>
          <w:szCs w:val="28"/>
        </w:rPr>
        <w:t>05</w:t>
      </w:r>
      <w:r w:rsidRPr="00D1041D">
        <w:rPr>
          <w:rFonts w:ascii="Century Gothic" w:hAnsi="Century Gothic"/>
          <w:b/>
          <w:bCs/>
          <w:sz w:val="28"/>
          <w:szCs w:val="28"/>
        </w:rPr>
        <w:t xml:space="preserve"> </w:t>
      </w:r>
      <w:r w:rsidRPr="00D1041D">
        <w:rPr>
          <w:rFonts w:ascii="Century Gothic" w:hAnsi="Century Gothic"/>
          <w:sz w:val="28"/>
          <w:szCs w:val="28"/>
        </w:rPr>
        <w:t>(cinco)</w:t>
      </w:r>
      <w:r w:rsidRPr="00D1041D">
        <w:rPr>
          <w:rFonts w:ascii="Century Gothic" w:hAnsi="Century Gothic" w:cs="Arial"/>
          <w:b/>
          <w:bCs/>
          <w:sz w:val="28"/>
          <w:szCs w:val="28"/>
        </w:rPr>
        <w:t xml:space="preserve"> dias corridos</w:t>
      </w:r>
      <w:r w:rsidRPr="00D1041D">
        <w:rPr>
          <w:rFonts w:ascii="Century Gothic" w:hAnsi="Century Gothic" w:cs="Arial"/>
          <w:sz w:val="28"/>
          <w:szCs w:val="28"/>
        </w:rPr>
        <w:t xml:space="preserve">, contados do recebimento da </w:t>
      </w:r>
      <w:r w:rsidRPr="00D1041D">
        <w:rPr>
          <w:rFonts w:ascii="Century Gothic" w:hAnsi="Century Gothic" w:cs="Arial"/>
          <w:b/>
          <w:bCs/>
          <w:sz w:val="28"/>
          <w:szCs w:val="28"/>
        </w:rPr>
        <w:t>Autorização de Compra</w:t>
      </w:r>
      <w:r w:rsidRPr="00D1041D">
        <w:rPr>
          <w:rFonts w:ascii="Century Gothic" w:hAnsi="Century Gothic" w:cs="Arial"/>
          <w:sz w:val="28"/>
          <w:szCs w:val="28"/>
        </w:rPr>
        <w:t>.</w:t>
      </w:r>
      <w:r w:rsidR="00B676E0" w:rsidRPr="00145DF5">
        <w:rPr>
          <w:rFonts w:ascii="Century Gothic" w:hAnsi="Century Gothic" w:cs="Arial"/>
          <w:sz w:val="28"/>
          <w:szCs w:val="28"/>
        </w:rPr>
        <w:t xml:space="preserve"> </w:t>
      </w:r>
    </w:p>
    <w:p w:rsidR="003C5116" w:rsidRPr="00145DF5" w:rsidRDefault="003C5116" w:rsidP="00BE70D4">
      <w:pPr>
        <w:autoSpaceDE w:val="0"/>
        <w:autoSpaceDN w:val="0"/>
        <w:adjustRightInd w:val="0"/>
        <w:jc w:val="both"/>
        <w:rPr>
          <w:rFonts w:ascii="Century Gothic" w:hAnsi="Century Gothic" w:cs="Arial"/>
          <w:sz w:val="28"/>
          <w:szCs w:val="28"/>
        </w:rPr>
      </w:pPr>
    </w:p>
    <w:p w:rsidR="00B676E0" w:rsidRPr="00145DF5" w:rsidRDefault="003C5116"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lastRenderedPageBreak/>
        <w:t>9</w:t>
      </w:r>
      <w:r w:rsidR="00B676E0" w:rsidRPr="00145DF5">
        <w:rPr>
          <w:rFonts w:ascii="Century Gothic" w:hAnsi="Century Gothic" w:cs="Arial"/>
          <w:b/>
          <w:bCs/>
          <w:sz w:val="28"/>
          <w:szCs w:val="28"/>
        </w:rPr>
        <w:t>.1.1</w:t>
      </w:r>
      <w:r w:rsidRPr="00145DF5">
        <w:rPr>
          <w:rFonts w:ascii="Century Gothic" w:hAnsi="Century Gothic" w:cs="Arial"/>
          <w:sz w:val="28"/>
          <w:szCs w:val="28"/>
        </w:rPr>
        <w:t xml:space="preserve"> – </w:t>
      </w:r>
      <w:r w:rsidR="00B676E0" w:rsidRPr="00145DF5">
        <w:rPr>
          <w:rFonts w:ascii="Century Gothic" w:hAnsi="Century Gothic" w:cs="Arial"/>
          <w:sz w:val="28"/>
          <w:szCs w:val="28"/>
        </w:rPr>
        <w:t xml:space="preserve">Só será emitido Atestado de Recebimento se atendidas as determinações deste Edital e seus anexos. </w:t>
      </w:r>
    </w:p>
    <w:p w:rsidR="003C5116" w:rsidRPr="00145DF5" w:rsidRDefault="003C5116" w:rsidP="00BE70D4">
      <w:pPr>
        <w:autoSpaceDE w:val="0"/>
        <w:autoSpaceDN w:val="0"/>
        <w:adjustRightInd w:val="0"/>
        <w:jc w:val="both"/>
        <w:rPr>
          <w:rFonts w:ascii="Century Gothic" w:hAnsi="Century Gothic" w:cs="Arial"/>
          <w:sz w:val="28"/>
          <w:szCs w:val="28"/>
        </w:rPr>
      </w:pPr>
    </w:p>
    <w:p w:rsidR="00B676E0" w:rsidRPr="00145DF5" w:rsidRDefault="003C5116"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9</w:t>
      </w:r>
      <w:r w:rsidR="00B676E0" w:rsidRPr="00145DF5">
        <w:rPr>
          <w:rFonts w:ascii="Century Gothic" w:hAnsi="Century Gothic" w:cs="Arial"/>
          <w:b/>
          <w:bCs/>
          <w:sz w:val="28"/>
          <w:szCs w:val="28"/>
        </w:rPr>
        <w:t>.1.2</w:t>
      </w:r>
      <w:r w:rsidRPr="00145DF5">
        <w:rPr>
          <w:rFonts w:ascii="Century Gothic" w:hAnsi="Century Gothic" w:cs="Arial"/>
          <w:sz w:val="28"/>
          <w:szCs w:val="28"/>
        </w:rPr>
        <w:t xml:space="preserve"> – </w:t>
      </w:r>
      <w:r w:rsidR="00B676E0" w:rsidRPr="00145DF5">
        <w:rPr>
          <w:rFonts w:ascii="Century Gothic" w:hAnsi="Century Gothic" w:cs="Arial"/>
          <w:sz w:val="28"/>
          <w:szCs w:val="28"/>
        </w:rPr>
        <w:t xml:space="preserve">Não será apreciado pedido de prorrogação de prazo de entrega apresentado após a data limite estabelecida no subitem </w:t>
      </w:r>
      <w:r w:rsidRPr="00145DF5">
        <w:rPr>
          <w:rFonts w:ascii="Century Gothic" w:hAnsi="Century Gothic" w:cs="Arial"/>
          <w:sz w:val="28"/>
          <w:szCs w:val="28"/>
        </w:rPr>
        <w:t>9</w:t>
      </w:r>
      <w:r w:rsidR="00B676E0" w:rsidRPr="00145DF5">
        <w:rPr>
          <w:rFonts w:ascii="Century Gothic" w:hAnsi="Century Gothic" w:cs="Arial"/>
          <w:sz w:val="28"/>
          <w:szCs w:val="28"/>
        </w:rPr>
        <w:t xml:space="preserve">.1 </w:t>
      </w:r>
    </w:p>
    <w:p w:rsidR="00BE70D4" w:rsidRPr="00145DF5" w:rsidRDefault="00BE70D4" w:rsidP="00BE70D4">
      <w:pPr>
        <w:autoSpaceDE w:val="0"/>
        <w:autoSpaceDN w:val="0"/>
        <w:adjustRightInd w:val="0"/>
        <w:jc w:val="both"/>
        <w:rPr>
          <w:rFonts w:ascii="Century Gothic" w:hAnsi="Century Gothic" w:cs="Arial"/>
          <w:b/>
          <w:bCs/>
          <w:sz w:val="28"/>
          <w:szCs w:val="28"/>
        </w:rPr>
      </w:pPr>
    </w:p>
    <w:p w:rsidR="00B676E0" w:rsidRPr="00145DF5" w:rsidRDefault="003C5116"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9</w:t>
      </w:r>
      <w:r w:rsidR="00B676E0" w:rsidRPr="00145DF5">
        <w:rPr>
          <w:rFonts w:ascii="Century Gothic" w:hAnsi="Century Gothic" w:cs="Arial"/>
          <w:b/>
          <w:bCs/>
          <w:sz w:val="28"/>
          <w:szCs w:val="28"/>
        </w:rPr>
        <w:t>.2</w:t>
      </w:r>
      <w:r w:rsidRPr="00145DF5">
        <w:rPr>
          <w:rFonts w:ascii="Century Gothic" w:hAnsi="Century Gothic" w:cs="Arial"/>
          <w:sz w:val="28"/>
          <w:szCs w:val="28"/>
        </w:rPr>
        <w:t xml:space="preserve"> – </w:t>
      </w:r>
      <w:r w:rsidR="00B676E0" w:rsidRPr="00145DF5">
        <w:rPr>
          <w:rFonts w:ascii="Century Gothic" w:hAnsi="Century Gothic" w:cs="Arial"/>
          <w:sz w:val="28"/>
          <w:szCs w:val="28"/>
        </w:rPr>
        <w:t xml:space="preserve">Constatadas irregularidades no objeto, este </w:t>
      </w:r>
      <w:r w:rsidRPr="00145DF5">
        <w:rPr>
          <w:rFonts w:ascii="Century Gothic" w:hAnsi="Century Gothic" w:cs="Arial"/>
          <w:sz w:val="28"/>
          <w:szCs w:val="28"/>
        </w:rPr>
        <w:t xml:space="preserve">Município de </w:t>
      </w:r>
      <w:r w:rsidR="00534669" w:rsidRPr="00145DF5">
        <w:rPr>
          <w:rFonts w:ascii="Century Gothic" w:hAnsi="Century Gothic"/>
          <w:sz w:val="28"/>
          <w:szCs w:val="28"/>
        </w:rPr>
        <w:t>Pirajuí</w:t>
      </w:r>
      <w:r w:rsidR="00B676E0" w:rsidRPr="00145DF5">
        <w:rPr>
          <w:rFonts w:ascii="Century Gothic" w:hAnsi="Century Gothic" w:cs="Arial"/>
          <w:sz w:val="28"/>
          <w:szCs w:val="28"/>
        </w:rPr>
        <w:t xml:space="preserve">, sem prejuízo das penalidades cabíveis, poderá: </w:t>
      </w:r>
    </w:p>
    <w:p w:rsidR="003C5116" w:rsidRPr="00145DF5" w:rsidRDefault="003C5116" w:rsidP="00BE70D4">
      <w:pPr>
        <w:autoSpaceDE w:val="0"/>
        <w:autoSpaceDN w:val="0"/>
        <w:adjustRightInd w:val="0"/>
        <w:jc w:val="both"/>
        <w:rPr>
          <w:rFonts w:ascii="Century Gothic" w:hAnsi="Century Gothic" w:cs="Arial"/>
          <w:sz w:val="28"/>
          <w:szCs w:val="28"/>
        </w:rPr>
      </w:pPr>
    </w:p>
    <w:p w:rsidR="00B676E0" w:rsidRPr="00145DF5" w:rsidRDefault="003C5116"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9</w:t>
      </w:r>
      <w:r w:rsidR="00B676E0" w:rsidRPr="00145DF5">
        <w:rPr>
          <w:rFonts w:ascii="Century Gothic" w:hAnsi="Century Gothic" w:cs="Arial"/>
          <w:b/>
          <w:bCs/>
          <w:sz w:val="28"/>
          <w:szCs w:val="28"/>
        </w:rPr>
        <w:t>.2.1</w:t>
      </w:r>
      <w:r w:rsidRPr="00145DF5">
        <w:rPr>
          <w:rFonts w:ascii="Century Gothic" w:hAnsi="Century Gothic" w:cs="Arial"/>
          <w:sz w:val="28"/>
          <w:szCs w:val="28"/>
        </w:rPr>
        <w:t xml:space="preserve"> – </w:t>
      </w:r>
      <w:r w:rsidR="00B676E0" w:rsidRPr="00145DF5">
        <w:rPr>
          <w:rFonts w:ascii="Century Gothic" w:hAnsi="Century Gothic" w:cs="Arial"/>
          <w:sz w:val="28"/>
          <w:szCs w:val="28"/>
        </w:rPr>
        <w:t xml:space="preserve">Rejeitá-lo no todo ou em parte se não corresponder às especificações do Anexo II, determinando sua substituição; </w:t>
      </w:r>
    </w:p>
    <w:p w:rsidR="003C5116" w:rsidRPr="00145DF5" w:rsidRDefault="003C5116" w:rsidP="00BE70D4">
      <w:pPr>
        <w:autoSpaceDE w:val="0"/>
        <w:autoSpaceDN w:val="0"/>
        <w:adjustRightInd w:val="0"/>
        <w:jc w:val="both"/>
        <w:rPr>
          <w:rFonts w:ascii="Century Gothic" w:hAnsi="Century Gothic" w:cs="Arial"/>
          <w:sz w:val="28"/>
          <w:szCs w:val="28"/>
        </w:rPr>
      </w:pPr>
    </w:p>
    <w:p w:rsidR="00B676E0" w:rsidRPr="00145DF5" w:rsidRDefault="003C5116"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9</w:t>
      </w:r>
      <w:r w:rsidR="00B676E0" w:rsidRPr="00145DF5">
        <w:rPr>
          <w:rFonts w:ascii="Century Gothic" w:hAnsi="Century Gothic" w:cs="Arial"/>
          <w:b/>
          <w:bCs/>
          <w:sz w:val="28"/>
          <w:szCs w:val="28"/>
        </w:rPr>
        <w:t>.2.2</w:t>
      </w:r>
      <w:r w:rsidRPr="00145DF5">
        <w:rPr>
          <w:rFonts w:ascii="Century Gothic" w:hAnsi="Century Gothic" w:cs="Arial"/>
          <w:sz w:val="28"/>
          <w:szCs w:val="28"/>
        </w:rPr>
        <w:t xml:space="preserve"> – </w:t>
      </w:r>
      <w:r w:rsidR="00B676E0" w:rsidRPr="00145DF5">
        <w:rPr>
          <w:rFonts w:ascii="Century Gothic" w:hAnsi="Century Gothic" w:cs="Arial"/>
          <w:sz w:val="28"/>
          <w:szCs w:val="28"/>
        </w:rPr>
        <w:t xml:space="preserve">Determinar sua complementação se houver diferença de quantidades. </w:t>
      </w:r>
    </w:p>
    <w:p w:rsidR="003C5116" w:rsidRPr="00145DF5" w:rsidRDefault="003C5116" w:rsidP="00BE70D4">
      <w:pPr>
        <w:autoSpaceDE w:val="0"/>
        <w:autoSpaceDN w:val="0"/>
        <w:adjustRightInd w:val="0"/>
        <w:jc w:val="both"/>
        <w:rPr>
          <w:rFonts w:ascii="Century Gothic" w:hAnsi="Century Gothic" w:cs="Arial"/>
          <w:sz w:val="28"/>
          <w:szCs w:val="28"/>
        </w:rPr>
      </w:pPr>
    </w:p>
    <w:p w:rsidR="00B676E0" w:rsidRPr="00145DF5" w:rsidRDefault="003C5116"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9</w:t>
      </w:r>
      <w:r w:rsidR="00B676E0" w:rsidRPr="00145DF5">
        <w:rPr>
          <w:rFonts w:ascii="Century Gothic" w:hAnsi="Century Gothic" w:cs="Arial"/>
          <w:b/>
          <w:bCs/>
          <w:sz w:val="28"/>
          <w:szCs w:val="28"/>
        </w:rPr>
        <w:t>.3</w:t>
      </w:r>
      <w:r w:rsidRPr="00145DF5">
        <w:rPr>
          <w:rFonts w:ascii="Century Gothic" w:hAnsi="Century Gothic" w:cs="Arial"/>
          <w:sz w:val="28"/>
          <w:szCs w:val="28"/>
        </w:rPr>
        <w:t xml:space="preserve"> – </w:t>
      </w:r>
      <w:r w:rsidR="00B676E0" w:rsidRPr="00145DF5">
        <w:rPr>
          <w:rFonts w:ascii="Century Gothic" w:hAnsi="Century Gothic" w:cs="Arial"/>
          <w:sz w:val="28"/>
          <w:szCs w:val="28"/>
        </w:rPr>
        <w:t xml:space="preserve">As irregularidades deverão ser sanadas no prazo máximo de </w:t>
      </w:r>
      <w:r w:rsidR="00B676E0" w:rsidRPr="00145DF5">
        <w:rPr>
          <w:rFonts w:ascii="Century Gothic" w:hAnsi="Century Gothic" w:cs="Arial"/>
          <w:b/>
          <w:bCs/>
          <w:sz w:val="28"/>
          <w:szCs w:val="28"/>
        </w:rPr>
        <w:t>10 (dez) dias corridos</w:t>
      </w:r>
      <w:r w:rsidR="00B676E0" w:rsidRPr="00145DF5">
        <w:rPr>
          <w:rFonts w:ascii="Century Gothic" w:hAnsi="Century Gothic" w:cs="Arial"/>
          <w:sz w:val="28"/>
          <w:szCs w:val="28"/>
        </w:rPr>
        <w:t xml:space="preserve">, contados do recebimento pelo adjudicatário da notificação por escrito, mantido o preço inicialmente contratado. </w:t>
      </w:r>
    </w:p>
    <w:p w:rsidR="003C5116" w:rsidRPr="00145DF5" w:rsidRDefault="003C5116" w:rsidP="00BE70D4">
      <w:pPr>
        <w:autoSpaceDE w:val="0"/>
        <w:autoSpaceDN w:val="0"/>
        <w:adjustRightInd w:val="0"/>
        <w:jc w:val="both"/>
        <w:rPr>
          <w:rFonts w:ascii="Century Gothic" w:hAnsi="Century Gothic" w:cs="Arial"/>
          <w:sz w:val="28"/>
          <w:szCs w:val="28"/>
        </w:rPr>
      </w:pPr>
    </w:p>
    <w:p w:rsidR="009A5808" w:rsidRPr="00145DF5" w:rsidRDefault="003C5116" w:rsidP="00BE70D4">
      <w:pPr>
        <w:autoSpaceDE w:val="0"/>
        <w:autoSpaceDN w:val="0"/>
        <w:adjustRightInd w:val="0"/>
        <w:jc w:val="both"/>
        <w:rPr>
          <w:rFonts w:ascii="Century Gothic" w:hAnsi="Century Gothic" w:cs="Helvetica"/>
          <w:sz w:val="28"/>
          <w:szCs w:val="28"/>
        </w:rPr>
      </w:pPr>
      <w:r w:rsidRPr="00145DF5">
        <w:rPr>
          <w:rFonts w:ascii="Century Gothic" w:hAnsi="Century Gothic" w:cs="Arial"/>
          <w:b/>
          <w:bCs/>
          <w:sz w:val="28"/>
          <w:szCs w:val="28"/>
        </w:rPr>
        <w:t>9</w:t>
      </w:r>
      <w:r w:rsidR="00B676E0" w:rsidRPr="00145DF5">
        <w:rPr>
          <w:rFonts w:ascii="Century Gothic" w:hAnsi="Century Gothic" w:cs="Arial"/>
          <w:b/>
          <w:bCs/>
          <w:sz w:val="28"/>
          <w:szCs w:val="28"/>
        </w:rPr>
        <w:t>.4</w:t>
      </w:r>
      <w:r w:rsidRPr="00145DF5">
        <w:rPr>
          <w:rFonts w:ascii="Century Gothic" w:hAnsi="Century Gothic" w:cs="Arial"/>
          <w:sz w:val="28"/>
          <w:szCs w:val="28"/>
        </w:rPr>
        <w:t xml:space="preserve"> – </w:t>
      </w:r>
      <w:r w:rsidR="00B676E0" w:rsidRPr="00145DF5">
        <w:rPr>
          <w:rFonts w:ascii="Century Gothic" w:hAnsi="Century Gothic" w:cs="Arial"/>
          <w:sz w:val="28"/>
          <w:szCs w:val="28"/>
        </w:rPr>
        <w:t xml:space="preserve">O recebimento definitivo não exime a Contratada de sua responsabilidade, na forma da Lei, pela qualidade dos </w:t>
      </w:r>
      <w:r w:rsidR="00C60AED">
        <w:rPr>
          <w:rFonts w:ascii="Century Gothic" w:hAnsi="Century Gothic"/>
          <w:sz w:val="28"/>
          <w:szCs w:val="28"/>
        </w:rPr>
        <w:t>materiais</w:t>
      </w:r>
      <w:r w:rsidR="00B676E0" w:rsidRPr="00145DF5">
        <w:rPr>
          <w:rFonts w:ascii="Century Gothic" w:hAnsi="Century Gothic" w:cs="Arial"/>
          <w:sz w:val="28"/>
          <w:szCs w:val="28"/>
        </w:rPr>
        <w:t xml:space="preserve"> entregues.</w:t>
      </w:r>
    </w:p>
    <w:p w:rsidR="00BE70D4" w:rsidRPr="00145DF5" w:rsidRDefault="00BE70D4"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b/>
          <w:bCs/>
          <w:sz w:val="28"/>
          <w:szCs w:val="28"/>
        </w:rPr>
      </w:pPr>
      <w:r w:rsidRPr="00145DF5">
        <w:rPr>
          <w:rFonts w:ascii="Century Gothic" w:hAnsi="Century Gothic" w:cs="Arial"/>
          <w:b/>
          <w:bCs/>
          <w:sz w:val="28"/>
          <w:szCs w:val="28"/>
        </w:rPr>
        <w:t>10 – DA FORMA DE PAGAMENTO</w:t>
      </w:r>
    </w:p>
    <w:p w:rsidR="009A5808" w:rsidRPr="00145DF5" w:rsidRDefault="009A5808" w:rsidP="00BE70D4">
      <w:pPr>
        <w:autoSpaceDE w:val="0"/>
        <w:autoSpaceDN w:val="0"/>
        <w:adjustRightInd w:val="0"/>
        <w:jc w:val="both"/>
        <w:rPr>
          <w:rFonts w:ascii="Century Gothic" w:hAnsi="Century Gothic" w:cs="Arial"/>
          <w:b/>
          <w:bCs/>
          <w:sz w:val="28"/>
          <w:szCs w:val="28"/>
        </w:rPr>
      </w:pPr>
    </w:p>
    <w:p w:rsidR="00B676E0" w:rsidRPr="00145DF5" w:rsidRDefault="00B676E0"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1</w:t>
      </w:r>
      <w:r w:rsidR="003C5116" w:rsidRPr="00145DF5">
        <w:rPr>
          <w:rFonts w:ascii="Century Gothic" w:hAnsi="Century Gothic" w:cs="Arial"/>
          <w:b/>
          <w:bCs/>
          <w:sz w:val="28"/>
          <w:szCs w:val="28"/>
        </w:rPr>
        <w:t>0</w:t>
      </w:r>
      <w:r w:rsidRPr="00145DF5">
        <w:rPr>
          <w:rFonts w:ascii="Century Gothic" w:hAnsi="Century Gothic" w:cs="Arial"/>
          <w:b/>
          <w:bCs/>
          <w:sz w:val="28"/>
          <w:szCs w:val="28"/>
        </w:rPr>
        <w:t>.1</w:t>
      </w:r>
      <w:r w:rsidR="003C5116" w:rsidRPr="00145DF5">
        <w:rPr>
          <w:rFonts w:ascii="Century Gothic" w:hAnsi="Century Gothic" w:cs="Arial"/>
          <w:sz w:val="28"/>
          <w:szCs w:val="28"/>
        </w:rPr>
        <w:t xml:space="preserve"> – </w:t>
      </w:r>
      <w:r w:rsidRPr="00145DF5">
        <w:rPr>
          <w:rFonts w:ascii="Century Gothic" w:hAnsi="Century Gothic" w:cs="Arial"/>
          <w:sz w:val="28"/>
          <w:szCs w:val="28"/>
        </w:rPr>
        <w:t xml:space="preserve">O pagamento será efetuado em </w:t>
      </w:r>
      <w:r w:rsidR="003C5116" w:rsidRPr="00145DF5">
        <w:rPr>
          <w:rFonts w:ascii="Century Gothic" w:hAnsi="Century Gothic" w:cs="Arial"/>
          <w:b/>
          <w:bCs/>
          <w:sz w:val="28"/>
          <w:szCs w:val="28"/>
        </w:rPr>
        <w:t>30</w:t>
      </w:r>
      <w:r w:rsidRPr="00145DF5">
        <w:rPr>
          <w:rFonts w:ascii="Century Gothic" w:hAnsi="Century Gothic" w:cs="Arial"/>
          <w:b/>
          <w:bCs/>
          <w:sz w:val="28"/>
          <w:szCs w:val="28"/>
        </w:rPr>
        <w:t xml:space="preserve"> </w:t>
      </w:r>
      <w:r w:rsidRPr="00145DF5">
        <w:rPr>
          <w:rFonts w:ascii="Century Gothic" w:hAnsi="Century Gothic" w:cs="Arial"/>
          <w:sz w:val="28"/>
          <w:szCs w:val="28"/>
        </w:rPr>
        <w:t>(</w:t>
      </w:r>
      <w:r w:rsidR="003C5116" w:rsidRPr="00145DF5">
        <w:rPr>
          <w:rFonts w:ascii="Century Gothic" w:hAnsi="Century Gothic" w:cs="Arial"/>
          <w:sz w:val="28"/>
          <w:szCs w:val="28"/>
        </w:rPr>
        <w:t>trinta</w:t>
      </w:r>
      <w:r w:rsidRPr="00145DF5">
        <w:rPr>
          <w:rFonts w:ascii="Century Gothic" w:hAnsi="Century Gothic" w:cs="Arial"/>
          <w:sz w:val="28"/>
          <w:szCs w:val="28"/>
        </w:rPr>
        <w:t xml:space="preserve">) </w:t>
      </w:r>
      <w:r w:rsidRPr="00145DF5">
        <w:rPr>
          <w:rFonts w:ascii="Century Gothic" w:hAnsi="Century Gothic" w:cs="Arial"/>
          <w:b/>
          <w:bCs/>
          <w:sz w:val="28"/>
          <w:szCs w:val="28"/>
        </w:rPr>
        <w:t xml:space="preserve">dias contados </w:t>
      </w:r>
      <w:r w:rsidRPr="00145DF5">
        <w:rPr>
          <w:rFonts w:ascii="Century Gothic" w:hAnsi="Century Gothic" w:cs="Arial"/>
          <w:sz w:val="28"/>
          <w:szCs w:val="28"/>
        </w:rPr>
        <w:t xml:space="preserve">da emissão do Atestado de Recebimento, diretamente no Banco do Brasil S.A., em conta corrente da contratada. </w:t>
      </w:r>
    </w:p>
    <w:p w:rsidR="003C5116" w:rsidRPr="00145DF5" w:rsidRDefault="003C5116" w:rsidP="00BE70D4">
      <w:pPr>
        <w:autoSpaceDE w:val="0"/>
        <w:autoSpaceDN w:val="0"/>
        <w:adjustRightInd w:val="0"/>
        <w:jc w:val="both"/>
        <w:rPr>
          <w:rFonts w:ascii="Century Gothic" w:hAnsi="Century Gothic" w:cs="Arial"/>
          <w:sz w:val="28"/>
          <w:szCs w:val="28"/>
        </w:rPr>
      </w:pPr>
    </w:p>
    <w:p w:rsidR="00B676E0" w:rsidRPr="00145DF5" w:rsidRDefault="003C5116"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10</w:t>
      </w:r>
      <w:r w:rsidR="00B676E0" w:rsidRPr="00145DF5">
        <w:rPr>
          <w:rFonts w:ascii="Century Gothic" w:hAnsi="Century Gothic" w:cs="Arial"/>
          <w:b/>
          <w:bCs/>
          <w:sz w:val="28"/>
          <w:szCs w:val="28"/>
        </w:rPr>
        <w:t>.</w:t>
      </w:r>
      <w:r w:rsidRPr="00145DF5">
        <w:rPr>
          <w:rFonts w:ascii="Century Gothic" w:hAnsi="Century Gothic" w:cs="Arial"/>
          <w:b/>
          <w:bCs/>
          <w:sz w:val="28"/>
          <w:szCs w:val="28"/>
        </w:rPr>
        <w:t>1</w:t>
      </w:r>
      <w:r w:rsidR="00B676E0" w:rsidRPr="00145DF5">
        <w:rPr>
          <w:rFonts w:ascii="Century Gothic" w:hAnsi="Century Gothic" w:cs="Arial"/>
          <w:b/>
          <w:bCs/>
          <w:sz w:val="28"/>
          <w:szCs w:val="28"/>
        </w:rPr>
        <w:t>.1</w:t>
      </w:r>
      <w:r w:rsidRPr="00145DF5">
        <w:rPr>
          <w:rFonts w:ascii="Century Gothic" w:hAnsi="Century Gothic" w:cs="Arial"/>
          <w:sz w:val="28"/>
          <w:szCs w:val="28"/>
        </w:rPr>
        <w:t xml:space="preserve"> – </w:t>
      </w:r>
      <w:r w:rsidR="00B676E0" w:rsidRPr="00145DF5">
        <w:rPr>
          <w:rFonts w:ascii="Century Gothic" w:hAnsi="Century Gothic" w:cs="Arial"/>
          <w:sz w:val="28"/>
          <w:szCs w:val="28"/>
        </w:rPr>
        <w:t xml:space="preserve">Conforme o protocolo ICMS 42/09, alterado pelo protocolo ICMS 1/2011 ficam obrigados a emitir Nota Fiscal Eletrônica – NF-e, modelo 55, em substituição à Nota Fiscal, modelo 1 ou 1-A, os contribuintes que, independentemente da atividade econômica exercida, realizem operações destinadas à Administração Pública direta ou indireta. </w:t>
      </w:r>
    </w:p>
    <w:p w:rsidR="003C5116" w:rsidRPr="00145DF5" w:rsidRDefault="003C5116" w:rsidP="00BE70D4">
      <w:pPr>
        <w:autoSpaceDE w:val="0"/>
        <w:autoSpaceDN w:val="0"/>
        <w:adjustRightInd w:val="0"/>
        <w:jc w:val="both"/>
        <w:rPr>
          <w:rFonts w:ascii="Century Gothic" w:hAnsi="Century Gothic" w:cs="Arial"/>
          <w:sz w:val="28"/>
          <w:szCs w:val="28"/>
        </w:rPr>
      </w:pPr>
    </w:p>
    <w:p w:rsidR="00B676E0" w:rsidRPr="00145DF5" w:rsidRDefault="003C5116"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10</w:t>
      </w:r>
      <w:r w:rsidR="00B676E0" w:rsidRPr="00145DF5">
        <w:rPr>
          <w:rFonts w:ascii="Century Gothic" w:hAnsi="Century Gothic" w:cs="Arial"/>
          <w:b/>
          <w:bCs/>
          <w:sz w:val="28"/>
          <w:szCs w:val="28"/>
        </w:rPr>
        <w:t>.2</w:t>
      </w:r>
      <w:r w:rsidRPr="00145DF5">
        <w:rPr>
          <w:rFonts w:ascii="Century Gothic" w:hAnsi="Century Gothic" w:cs="Arial"/>
          <w:sz w:val="28"/>
          <w:szCs w:val="28"/>
        </w:rPr>
        <w:t xml:space="preserve"> – </w:t>
      </w:r>
      <w:r w:rsidR="00B676E0" w:rsidRPr="00145DF5">
        <w:rPr>
          <w:rFonts w:ascii="Century Gothic" w:hAnsi="Century Gothic" w:cs="Arial"/>
          <w:sz w:val="28"/>
          <w:szCs w:val="28"/>
        </w:rPr>
        <w:t xml:space="preserve">Não será iniciada a contagem de prazo, caso os documentos fiscais apresentados ou outros necessários à contratação contenham incorreções. </w:t>
      </w:r>
    </w:p>
    <w:p w:rsidR="003C5116" w:rsidRPr="00145DF5" w:rsidRDefault="003C5116" w:rsidP="00BE70D4">
      <w:pPr>
        <w:autoSpaceDE w:val="0"/>
        <w:autoSpaceDN w:val="0"/>
        <w:adjustRightInd w:val="0"/>
        <w:jc w:val="both"/>
        <w:rPr>
          <w:rFonts w:ascii="Century Gothic" w:hAnsi="Century Gothic" w:cs="Arial"/>
          <w:b/>
          <w:bCs/>
          <w:sz w:val="28"/>
          <w:szCs w:val="28"/>
        </w:rPr>
      </w:pPr>
    </w:p>
    <w:p w:rsidR="00B676E0" w:rsidRPr="00145DF5" w:rsidRDefault="00B676E0"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lastRenderedPageBreak/>
        <w:t>1</w:t>
      </w:r>
      <w:r w:rsidR="003C5116" w:rsidRPr="00145DF5">
        <w:rPr>
          <w:rFonts w:ascii="Century Gothic" w:hAnsi="Century Gothic" w:cs="Arial"/>
          <w:b/>
          <w:bCs/>
          <w:sz w:val="28"/>
          <w:szCs w:val="28"/>
        </w:rPr>
        <w:t>0</w:t>
      </w:r>
      <w:r w:rsidRPr="00145DF5">
        <w:rPr>
          <w:rFonts w:ascii="Century Gothic" w:hAnsi="Century Gothic" w:cs="Arial"/>
          <w:b/>
          <w:bCs/>
          <w:sz w:val="28"/>
          <w:szCs w:val="28"/>
        </w:rPr>
        <w:t>.3</w:t>
      </w:r>
      <w:r w:rsidR="003C5116" w:rsidRPr="00145DF5">
        <w:rPr>
          <w:rFonts w:ascii="Century Gothic" w:hAnsi="Century Gothic" w:cs="Arial"/>
          <w:sz w:val="28"/>
          <w:szCs w:val="28"/>
        </w:rPr>
        <w:t xml:space="preserve"> – </w:t>
      </w:r>
      <w:r w:rsidRPr="00145DF5">
        <w:rPr>
          <w:rFonts w:ascii="Century Gothic" w:hAnsi="Century Gothic" w:cs="Arial"/>
          <w:sz w:val="28"/>
          <w:szCs w:val="28"/>
        </w:rPr>
        <w:t xml:space="preserve">A contagem do prazo para pagamento considerará dias corridos e terá início e encerramento em dias de expediente neste </w:t>
      </w:r>
      <w:r w:rsidR="003C5116" w:rsidRPr="00145DF5">
        <w:rPr>
          <w:rFonts w:ascii="Century Gothic" w:hAnsi="Century Gothic" w:cs="Arial"/>
          <w:sz w:val="28"/>
          <w:szCs w:val="28"/>
        </w:rPr>
        <w:t xml:space="preserve">Município de </w:t>
      </w:r>
      <w:r w:rsidR="00534669" w:rsidRPr="00145DF5">
        <w:rPr>
          <w:rFonts w:ascii="Century Gothic" w:hAnsi="Century Gothic"/>
          <w:sz w:val="28"/>
          <w:szCs w:val="28"/>
        </w:rPr>
        <w:t>Pirajuí</w:t>
      </w:r>
      <w:r w:rsidRPr="00145DF5">
        <w:rPr>
          <w:rFonts w:ascii="Century Gothic" w:hAnsi="Century Gothic" w:cs="Arial"/>
          <w:sz w:val="28"/>
          <w:szCs w:val="28"/>
        </w:rPr>
        <w:t xml:space="preserve">. </w:t>
      </w:r>
    </w:p>
    <w:p w:rsidR="003C5116" w:rsidRPr="00145DF5" w:rsidRDefault="003C5116" w:rsidP="00BE70D4">
      <w:pPr>
        <w:autoSpaceDE w:val="0"/>
        <w:autoSpaceDN w:val="0"/>
        <w:adjustRightInd w:val="0"/>
        <w:jc w:val="both"/>
        <w:rPr>
          <w:rFonts w:ascii="Century Gothic" w:hAnsi="Century Gothic" w:cs="Arial"/>
          <w:b/>
          <w:bCs/>
          <w:sz w:val="28"/>
          <w:szCs w:val="28"/>
        </w:rPr>
      </w:pPr>
    </w:p>
    <w:p w:rsidR="009A5808" w:rsidRPr="00145DF5" w:rsidRDefault="00B676E0"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1</w:t>
      </w:r>
      <w:r w:rsidR="00BE70D4" w:rsidRPr="00145DF5">
        <w:rPr>
          <w:rFonts w:ascii="Century Gothic" w:hAnsi="Century Gothic" w:cs="Arial"/>
          <w:b/>
          <w:bCs/>
          <w:sz w:val="28"/>
          <w:szCs w:val="28"/>
        </w:rPr>
        <w:t>0</w:t>
      </w:r>
      <w:r w:rsidRPr="00145DF5">
        <w:rPr>
          <w:rFonts w:ascii="Century Gothic" w:hAnsi="Century Gothic" w:cs="Arial"/>
          <w:b/>
          <w:bCs/>
          <w:sz w:val="28"/>
          <w:szCs w:val="28"/>
        </w:rPr>
        <w:t>.</w:t>
      </w:r>
      <w:r w:rsidR="003C5116" w:rsidRPr="00145DF5">
        <w:rPr>
          <w:rFonts w:ascii="Century Gothic" w:hAnsi="Century Gothic" w:cs="Arial"/>
          <w:b/>
          <w:bCs/>
          <w:sz w:val="28"/>
          <w:szCs w:val="28"/>
        </w:rPr>
        <w:t xml:space="preserve">4 </w:t>
      </w:r>
      <w:r w:rsidR="003C5116" w:rsidRPr="00145DF5">
        <w:rPr>
          <w:rFonts w:ascii="Century Gothic" w:hAnsi="Century Gothic" w:cs="Arial"/>
          <w:sz w:val="28"/>
          <w:szCs w:val="28"/>
        </w:rPr>
        <w:t>–</w:t>
      </w:r>
      <w:r w:rsidRPr="00145DF5">
        <w:rPr>
          <w:rFonts w:ascii="Century Gothic" w:hAnsi="Century Gothic" w:cs="Arial"/>
          <w:sz w:val="28"/>
          <w:szCs w:val="28"/>
        </w:rPr>
        <w:t xml:space="preserve"> Quando for constatada qualquer irregularidade na Nota Fiscal/Fatura, será imediatamente solicitada à contratada, carta de correção, quando couber, ou ainda pertinente regularização, que deverá ser encaminhada a este </w:t>
      </w:r>
      <w:r w:rsidR="003C5116" w:rsidRPr="00145DF5">
        <w:rPr>
          <w:rFonts w:ascii="Century Gothic" w:hAnsi="Century Gothic" w:cs="Arial"/>
          <w:sz w:val="28"/>
          <w:szCs w:val="28"/>
        </w:rPr>
        <w:t xml:space="preserve">Município de </w:t>
      </w:r>
      <w:r w:rsidR="00534669" w:rsidRPr="00145DF5">
        <w:rPr>
          <w:rFonts w:ascii="Century Gothic" w:hAnsi="Century Gothic"/>
          <w:sz w:val="28"/>
          <w:szCs w:val="28"/>
        </w:rPr>
        <w:t>Pirajuí</w:t>
      </w:r>
      <w:r w:rsidRPr="00145DF5">
        <w:rPr>
          <w:rFonts w:ascii="Century Gothic" w:hAnsi="Century Gothic" w:cs="Arial"/>
          <w:sz w:val="28"/>
          <w:szCs w:val="28"/>
        </w:rPr>
        <w:t xml:space="preserve"> no prazo de </w:t>
      </w:r>
      <w:r w:rsidR="003C5116" w:rsidRPr="00145DF5">
        <w:rPr>
          <w:rFonts w:ascii="Century Gothic" w:hAnsi="Century Gothic" w:cs="Arial"/>
          <w:b/>
          <w:sz w:val="28"/>
          <w:szCs w:val="28"/>
        </w:rPr>
        <w:t>0</w:t>
      </w:r>
      <w:r w:rsidRPr="00145DF5">
        <w:rPr>
          <w:rFonts w:ascii="Century Gothic" w:hAnsi="Century Gothic" w:cs="Arial"/>
          <w:b/>
          <w:bCs/>
          <w:sz w:val="28"/>
          <w:szCs w:val="28"/>
        </w:rPr>
        <w:t xml:space="preserve">3 </w:t>
      </w:r>
      <w:r w:rsidRPr="00145DF5">
        <w:rPr>
          <w:rFonts w:ascii="Century Gothic" w:hAnsi="Century Gothic" w:cs="Arial"/>
          <w:sz w:val="28"/>
          <w:szCs w:val="28"/>
        </w:rPr>
        <w:t xml:space="preserve">(três) </w:t>
      </w:r>
      <w:r w:rsidRPr="00145DF5">
        <w:rPr>
          <w:rFonts w:ascii="Century Gothic" w:hAnsi="Century Gothic" w:cs="Arial"/>
          <w:b/>
          <w:bCs/>
          <w:sz w:val="28"/>
          <w:szCs w:val="28"/>
        </w:rPr>
        <w:t>dias úteis</w:t>
      </w:r>
      <w:r w:rsidRPr="00145DF5">
        <w:rPr>
          <w:rFonts w:ascii="Century Gothic" w:hAnsi="Century Gothic" w:cs="Arial"/>
          <w:sz w:val="28"/>
          <w:szCs w:val="28"/>
        </w:rPr>
        <w:t>;</w:t>
      </w:r>
    </w:p>
    <w:p w:rsidR="003C5116" w:rsidRPr="00145DF5" w:rsidRDefault="003C5116" w:rsidP="00BE70D4">
      <w:pPr>
        <w:autoSpaceDE w:val="0"/>
        <w:autoSpaceDN w:val="0"/>
        <w:adjustRightInd w:val="0"/>
        <w:jc w:val="both"/>
        <w:rPr>
          <w:rFonts w:ascii="Century Gothic" w:hAnsi="Century Gothic" w:cs="Arial"/>
          <w:sz w:val="28"/>
          <w:szCs w:val="28"/>
        </w:rPr>
      </w:pPr>
    </w:p>
    <w:p w:rsidR="00B676E0" w:rsidRPr="00145DF5" w:rsidRDefault="00B676E0"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1</w:t>
      </w:r>
      <w:r w:rsidR="003C5116" w:rsidRPr="00145DF5">
        <w:rPr>
          <w:rFonts w:ascii="Century Gothic" w:hAnsi="Century Gothic" w:cs="Arial"/>
          <w:b/>
          <w:bCs/>
          <w:sz w:val="28"/>
          <w:szCs w:val="28"/>
        </w:rPr>
        <w:t>0</w:t>
      </w:r>
      <w:r w:rsidRPr="00145DF5">
        <w:rPr>
          <w:rFonts w:ascii="Century Gothic" w:hAnsi="Century Gothic" w:cs="Arial"/>
          <w:b/>
          <w:bCs/>
          <w:sz w:val="28"/>
          <w:szCs w:val="28"/>
        </w:rPr>
        <w:t>.</w:t>
      </w:r>
      <w:r w:rsidR="003C5116" w:rsidRPr="00145DF5">
        <w:rPr>
          <w:rFonts w:ascii="Century Gothic" w:hAnsi="Century Gothic" w:cs="Arial"/>
          <w:b/>
          <w:bCs/>
          <w:sz w:val="28"/>
          <w:szCs w:val="28"/>
        </w:rPr>
        <w:t>4</w:t>
      </w:r>
      <w:r w:rsidRPr="00145DF5">
        <w:rPr>
          <w:rFonts w:ascii="Century Gothic" w:hAnsi="Century Gothic" w:cs="Arial"/>
          <w:b/>
          <w:bCs/>
          <w:sz w:val="28"/>
          <w:szCs w:val="28"/>
        </w:rPr>
        <w:t>.1</w:t>
      </w:r>
      <w:r w:rsidRPr="00145DF5">
        <w:rPr>
          <w:rFonts w:ascii="Century Gothic" w:hAnsi="Century Gothic" w:cs="Arial"/>
          <w:sz w:val="28"/>
          <w:szCs w:val="28"/>
        </w:rPr>
        <w:t xml:space="preserve">- Caso a Contratada não apresente carta de correção no prazo estipulado, o prazo para pagamento será recontado, a partir da data da sua apresentação. </w:t>
      </w:r>
    </w:p>
    <w:p w:rsidR="00B676E0" w:rsidRPr="00145DF5" w:rsidRDefault="00B676E0" w:rsidP="00BE70D4">
      <w:pPr>
        <w:autoSpaceDE w:val="0"/>
        <w:autoSpaceDN w:val="0"/>
        <w:adjustRightInd w:val="0"/>
        <w:jc w:val="both"/>
        <w:rPr>
          <w:rFonts w:ascii="Century Gothic" w:hAnsi="Century Gothic" w:cs="Arial"/>
          <w:b/>
          <w:bCs/>
          <w:sz w:val="28"/>
          <w:szCs w:val="28"/>
        </w:rPr>
      </w:pPr>
    </w:p>
    <w:p w:rsidR="009A5808" w:rsidRPr="00145DF5" w:rsidRDefault="009A5808" w:rsidP="00BE70D4">
      <w:pPr>
        <w:autoSpaceDE w:val="0"/>
        <w:autoSpaceDN w:val="0"/>
        <w:adjustRightInd w:val="0"/>
        <w:jc w:val="both"/>
        <w:rPr>
          <w:rFonts w:ascii="Century Gothic" w:hAnsi="Century Gothic" w:cs="Arial"/>
          <w:b/>
          <w:bCs/>
          <w:sz w:val="28"/>
          <w:szCs w:val="28"/>
        </w:rPr>
      </w:pPr>
      <w:r w:rsidRPr="00145DF5">
        <w:rPr>
          <w:rFonts w:ascii="Century Gothic" w:hAnsi="Century Gothic" w:cs="Arial"/>
          <w:b/>
          <w:bCs/>
          <w:sz w:val="28"/>
          <w:szCs w:val="28"/>
        </w:rPr>
        <w:t>1</w:t>
      </w:r>
      <w:r w:rsidR="000F612C">
        <w:rPr>
          <w:rFonts w:ascii="Century Gothic" w:hAnsi="Century Gothic" w:cs="Arial"/>
          <w:b/>
          <w:bCs/>
          <w:sz w:val="28"/>
          <w:szCs w:val="28"/>
        </w:rPr>
        <w:t>1</w:t>
      </w:r>
      <w:r w:rsidRPr="00145DF5">
        <w:rPr>
          <w:rFonts w:ascii="Century Gothic" w:hAnsi="Century Gothic" w:cs="Arial"/>
          <w:b/>
          <w:bCs/>
          <w:sz w:val="28"/>
          <w:szCs w:val="28"/>
        </w:rPr>
        <w:t xml:space="preserve"> – SANÇÕES</w:t>
      </w:r>
    </w:p>
    <w:p w:rsidR="009A5808" w:rsidRPr="00145DF5" w:rsidRDefault="009A5808" w:rsidP="00BE70D4">
      <w:pPr>
        <w:autoSpaceDE w:val="0"/>
        <w:autoSpaceDN w:val="0"/>
        <w:adjustRightInd w:val="0"/>
        <w:jc w:val="both"/>
        <w:rPr>
          <w:rFonts w:ascii="Century Gothic" w:hAnsi="Century Gothic" w:cs="Arial"/>
          <w:b/>
          <w:bCs/>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sz w:val="28"/>
          <w:szCs w:val="28"/>
        </w:rPr>
        <w:t>1</w:t>
      </w:r>
      <w:r w:rsidR="000F612C">
        <w:rPr>
          <w:rFonts w:ascii="Century Gothic" w:hAnsi="Century Gothic" w:cs="Arial"/>
          <w:b/>
          <w:sz w:val="28"/>
          <w:szCs w:val="28"/>
        </w:rPr>
        <w:t>1</w:t>
      </w:r>
      <w:r w:rsidRPr="00145DF5">
        <w:rPr>
          <w:rFonts w:ascii="Century Gothic" w:hAnsi="Century Gothic" w:cs="Arial"/>
          <w:b/>
          <w:sz w:val="28"/>
          <w:szCs w:val="28"/>
        </w:rPr>
        <w:t xml:space="preserve">.1 – </w:t>
      </w:r>
      <w:r w:rsidRPr="00145DF5">
        <w:rPr>
          <w:rFonts w:ascii="Century Gothic" w:hAnsi="Century Gothic" w:cs="Arial"/>
          <w:sz w:val="28"/>
          <w:szCs w:val="28"/>
        </w:rPr>
        <w:t>Quem, convocado dentro do prazo de validade da sua proposta, não celebrar o contrato, deixar de entregar ou apresentar documentação falsa, ensejar o retardamento da execução de seu objeto, não mantiver a proposta, falhar ou fraudar na execução do contrato, comportar-se de modo inidôneo ou cometer fraude fiscal, ficará sujeito às sanções previstas no artigo 7º da Lei Federal nº 10.520/02 e demais penalidades legais.</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b/>
          <w:bCs/>
          <w:sz w:val="28"/>
          <w:szCs w:val="28"/>
        </w:rPr>
      </w:pPr>
      <w:r w:rsidRPr="00145DF5">
        <w:rPr>
          <w:rFonts w:ascii="Century Gothic" w:hAnsi="Century Gothic" w:cs="Arial"/>
          <w:b/>
          <w:bCs/>
          <w:sz w:val="28"/>
          <w:szCs w:val="28"/>
        </w:rPr>
        <w:t>1</w:t>
      </w:r>
      <w:r w:rsidR="000F612C">
        <w:rPr>
          <w:rFonts w:ascii="Century Gothic" w:hAnsi="Century Gothic" w:cs="Arial"/>
          <w:b/>
          <w:bCs/>
          <w:sz w:val="28"/>
          <w:szCs w:val="28"/>
        </w:rPr>
        <w:t>2</w:t>
      </w:r>
      <w:r w:rsidRPr="00145DF5">
        <w:rPr>
          <w:rFonts w:ascii="Century Gothic" w:hAnsi="Century Gothic" w:cs="Arial"/>
          <w:b/>
          <w:bCs/>
          <w:sz w:val="28"/>
          <w:szCs w:val="28"/>
        </w:rPr>
        <w:t xml:space="preserve"> – DISPOSIÇÕES FINAIS</w:t>
      </w:r>
    </w:p>
    <w:p w:rsidR="009A5808" w:rsidRPr="00145DF5" w:rsidRDefault="009A5808" w:rsidP="00BE70D4">
      <w:pPr>
        <w:autoSpaceDE w:val="0"/>
        <w:autoSpaceDN w:val="0"/>
        <w:adjustRightInd w:val="0"/>
        <w:jc w:val="both"/>
        <w:rPr>
          <w:rFonts w:ascii="Century Gothic" w:hAnsi="Century Gothic" w:cs="Arial"/>
          <w:b/>
          <w:bCs/>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1</w:t>
      </w:r>
      <w:r w:rsidR="000F612C">
        <w:rPr>
          <w:rFonts w:ascii="Century Gothic" w:hAnsi="Century Gothic" w:cs="Arial"/>
          <w:b/>
          <w:bCs/>
          <w:sz w:val="28"/>
          <w:szCs w:val="28"/>
        </w:rPr>
        <w:t>2</w:t>
      </w:r>
      <w:r w:rsidRPr="00145DF5">
        <w:rPr>
          <w:rFonts w:ascii="Century Gothic" w:hAnsi="Century Gothic" w:cs="Arial"/>
          <w:b/>
          <w:bCs/>
          <w:sz w:val="28"/>
          <w:szCs w:val="28"/>
        </w:rPr>
        <w:t xml:space="preserve">.1 </w:t>
      </w:r>
      <w:r w:rsidRPr="00145DF5">
        <w:rPr>
          <w:rFonts w:ascii="Century Gothic" w:hAnsi="Century Gothic" w:cs="Arial"/>
          <w:sz w:val="28"/>
          <w:szCs w:val="28"/>
        </w:rPr>
        <w:t>– As normas disciplinadoras desta licitação serão interpretadas em favor da ampliação da disputa, respeitada a igualdade de oportunidade entre os licitantes, desde que não comprometam o interesse público, a finalidade e a segurança da contratação.</w:t>
      </w:r>
    </w:p>
    <w:p w:rsidR="00C60AED" w:rsidRDefault="00C60AED" w:rsidP="00BE70D4">
      <w:pPr>
        <w:autoSpaceDE w:val="0"/>
        <w:autoSpaceDN w:val="0"/>
        <w:adjustRightInd w:val="0"/>
        <w:jc w:val="both"/>
        <w:rPr>
          <w:rFonts w:ascii="Century Gothic" w:hAnsi="Century Gothic" w:cs="Arial"/>
          <w:b/>
          <w:bCs/>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1</w:t>
      </w:r>
      <w:r w:rsidR="000F612C">
        <w:rPr>
          <w:rFonts w:ascii="Century Gothic" w:hAnsi="Century Gothic" w:cs="Arial"/>
          <w:b/>
          <w:bCs/>
          <w:sz w:val="28"/>
          <w:szCs w:val="28"/>
        </w:rPr>
        <w:t>2</w:t>
      </w:r>
      <w:r w:rsidRPr="00145DF5">
        <w:rPr>
          <w:rFonts w:ascii="Century Gothic" w:hAnsi="Century Gothic" w:cs="Arial"/>
          <w:b/>
          <w:bCs/>
          <w:sz w:val="28"/>
          <w:szCs w:val="28"/>
        </w:rPr>
        <w:t xml:space="preserve">.2 </w:t>
      </w:r>
      <w:r w:rsidRPr="00145DF5">
        <w:rPr>
          <w:rFonts w:ascii="Century Gothic" w:hAnsi="Century Gothic" w:cs="Arial"/>
          <w:sz w:val="28"/>
          <w:szCs w:val="28"/>
        </w:rPr>
        <w:t>– O resultado do presente certame será divulgado no Diário Oficial do Estado de São Paulo.</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1</w:t>
      </w:r>
      <w:r w:rsidR="000F612C">
        <w:rPr>
          <w:rFonts w:ascii="Century Gothic" w:hAnsi="Century Gothic" w:cs="Arial"/>
          <w:b/>
          <w:bCs/>
          <w:sz w:val="28"/>
          <w:szCs w:val="28"/>
        </w:rPr>
        <w:t>2</w:t>
      </w:r>
      <w:r w:rsidRPr="00145DF5">
        <w:rPr>
          <w:rFonts w:ascii="Century Gothic" w:hAnsi="Century Gothic" w:cs="Arial"/>
          <w:b/>
          <w:bCs/>
          <w:sz w:val="28"/>
          <w:szCs w:val="28"/>
        </w:rPr>
        <w:t xml:space="preserve">.3 </w:t>
      </w:r>
      <w:r w:rsidRPr="00145DF5">
        <w:rPr>
          <w:rFonts w:ascii="Century Gothic" w:hAnsi="Century Gothic" w:cs="Arial"/>
          <w:sz w:val="28"/>
          <w:szCs w:val="28"/>
        </w:rPr>
        <w:t>– Os demais atos pertinentes a esta licitação, passíveis de divulgação, serão publicados no Diário Oficial do Estado de São Paulo.</w:t>
      </w:r>
    </w:p>
    <w:p w:rsidR="009A5808" w:rsidRPr="00145DF5" w:rsidRDefault="009A5808" w:rsidP="00BE70D4">
      <w:pPr>
        <w:autoSpaceDE w:val="0"/>
        <w:autoSpaceDN w:val="0"/>
        <w:adjustRightInd w:val="0"/>
        <w:jc w:val="both"/>
        <w:rPr>
          <w:rFonts w:ascii="Century Gothic" w:hAnsi="Century Gothic" w:cs="Arial"/>
          <w:sz w:val="28"/>
          <w:szCs w:val="28"/>
        </w:rPr>
      </w:pPr>
    </w:p>
    <w:p w:rsidR="00B676E0" w:rsidRPr="00145DF5" w:rsidRDefault="00B676E0"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lastRenderedPageBreak/>
        <w:t>1</w:t>
      </w:r>
      <w:r w:rsidR="000F612C">
        <w:rPr>
          <w:rFonts w:ascii="Century Gothic" w:hAnsi="Century Gothic" w:cs="Arial"/>
          <w:b/>
          <w:bCs/>
          <w:sz w:val="28"/>
          <w:szCs w:val="28"/>
        </w:rPr>
        <w:t>2</w:t>
      </w:r>
      <w:r w:rsidRPr="00145DF5">
        <w:rPr>
          <w:rFonts w:ascii="Century Gothic" w:hAnsi="Century Gothic" w:cs="Arial"/>
          <w:b/>
          <w:bCs/>
          <w:sz w:val="28"/>
          <w:szCs w:val="28"/>
        </w:rPr>
        <w:t>.4</w:t>
      </w:r>
      <w:r w:rsidR="003C5116" w:rsidRPr="00145DF5">
        <w:rPr>
          <w:rFonts w:ascii="Century Gothic" w:hAnsi="Century Gothic" w:cs="Arial"/>
          <w:b/>
          <w:bCs/>
          <w:sz w:val="28"/>
          <w:szCs w:val="28"/>
        </w:rPr>
        <w:t xml:space="preserve"> </w:t>
      </w:r>
      <w:r w:rsidR="003C5116" w:rsidRPr="00145DF5">
        <w:rPr>
          <w:rFonts w:ascii="Century Gothic" w:hAnsi="Century Gothic" w:cs="Arial"/>
          <w:sz w:val="28"/>
          <w:szCs w:val="28"/>
        </w:rPr>
        <w:t>–</w:t>
      </w:r>
      <w:r w:rsidRPr="00145DF5">
        <w:rPr>
          <w:rFonts w:ascii="Century Gothic" w:hAnsi="Century Gothic" w:cs="Arial"/>
          <w:sz w:val="28"/>
          <w:szCs w:val="28"/>
        </w:rPr>
        <w:t xml:space="preserve"> Após a publicação da Ata de Registro de Preços, os envelopes contendo os documentos de habilitação, não abertos, ficarão à disposição para retirada, pelo prazo de cinco dias, findo o qual serão inutilizados. </w:t>
      </w:r>
    </w:p>
    <w:p w:rsidR="003C5116" w:rsidRPr="00145DF5" w:rsidRDefault="003C5116" w:rsidP="00BE70D4">
      <w:pPr>
        <w:autoSpaceDE w:val="0"/>
        <w:autoSpaceDN w:val="0"/>
        <w:adjustRightInd w:val="0"/>
        <w:jc w:val="both"/>
        <w:rPr>
          <w:rFonts w:ascii="Century Gothic" w:hAnsi="Century Gothic" w:cs="Arial"/>
          <w:sz w:val="28"/>
          <w:szCs w:val="28"/>
        </w:rPr>
      </w:pPr>
    </w:p>
    <w:p w:rsidR="00B676E0" w:rsidRPr="00145DF5" w:rsidRDefault="00B676E0"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1</w:t>
      </w:r>
      <w:r w:rsidR="000F612C">
        <w:rPr>
          <w:rFonts w:ascii="Century Gothic" w:hAnsi="Century Gothic" w:cs="Arial"/>
          <w:b/>
          <w:bCs/>
          <w:sz w:val="28"/>
          <w:szCs w:val="28"/>
        </w:rPr>
        <w:t>2</w:t>
      </w:r>
      <w:r w:rsidRPr="00145DF5">
        <w:rPr>
          <w:rFonts w:ascii="Century Gothic" w:hAnsi="Century Gothic" w:cs="Arial"/>
          <w:b/>
          <w:bCs/>
          <w:sz w:val="28"/>
          <w:szCs w:val="28"/>
        </w:rPr>
        <w:t>.5</w:t>
      </w:r>
      <w:r w:rsidR="003C5116" w:rsidRPr="00145DF5">
        <w:rPr>
          <w:rFonts w:ascii="Century Gothic" w:hAnsi="Century Gothic" w:cs="Arial"/>
          <w:b/>
          <w:bCs/>
          <w:sz w:val="28"/>
          <w:szCs w:val="28"/>
        </w:rPr>
        <w:t xml:space="preserve"> </w:t>
      </w:r>
      <w:r w:rsidR="003C5116" w:rsidRPr="00145DF5">
        <w:rPr>
          <w:rFonts w:ascii="Century Gothic" w:hAnsi="Century Gothic" w:cs="Arial"/>
          <w:sz w:val="28"/>
          <w:szCs w:val="28"/>
        </w:rPr>
        <w:t>–</w:t>
      </w:r>
      <w:r w:rsidRPr="00145DF5">
        <w:rPr>
          <w:rFonts w:ascii="Century Gothic" w:hAnsi="Century Gothic" w:cs="Arial"/>
          <w:sz w:val="28"/>
          <w:szCs w:val="28"/>
        </w:rPr>
        <w:t xml:space="preserve"> Os casos omissos do presente Pregão serão solucionados pelo Pregoeiro. </w:t>
      </w:r>
    </w:p>
    <w:p w:rsidR="003C5116" w:rsidRPr="00145DF5" w:rsidRDefault="003C5116" w:rsidP="00BE70D4">
      <w:pPr>
        <w:autoSpaceDE w:val="0"/>
        <w:autoSpaceDN w:val="0"/>
        <w:adjustRightInd w:val="0"/>
        <w:jc w:val="both"/>
        <w:rPr>
          <w:rFonts w:ascii="Century Gothic" w:hAnsi="Century Gothic" w:cs="Arial"/>
          <w:sz w:val="28"/>
          <w:szCs w:val="28"/>
        </w:rPr>
      </w:pPr>
    </w:p>
    <w:p w:rsidR="009A5808" w:rsidRPr="00145DF5" w:rsidRDefault="00B676E0"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1</w:t>
      </w:r>
      <w:r w:rsidR="000F612C">
        <w:rPr>
          <w:rFonts w:ascii="Century Gothic" w:hAnsi="Century Gothic" w:cs="Arial"/>
          <w:b/>
          <w:bCs/>
          <w:sz w:val="28"/>
          <w:szCs w:val="28"/>
        </w:rPr>
        <w:t>2</w:t>
      </w:r>
      <w:r w:rsidRPr="00145DF5">
        <w:rPr>
          <w:rFonts w:ascii="Century Gothic" w:hAnsi="Century Gothic" w:cs="Arial"/>
          <w:b/>
          <w:bCs/>
          <w:sz w:val="28"/>
          <w:szCs w:val="28"/>
        </w:rPr>
        <w:t>.6</w:t>
      </w:r>
      <w:r w:rsidR="003C5116" w:rsidRPr="00145DF5">
        <w:rPr>
          <w:rFonts w:ascii="Century Gothic" w:hAnsi="Century Gothic" w:cs="Arial"/>
          <w:b/>
          <w:bCs/>
          <w:sz w:val="28"/>
          <w:szCs w:val="28"/>
        </w:rPr>
        <w:t xml:space="preserve"> </w:t>
      </w:r>
      <w:r w:rsidR="003C5116" w:rsidRPr="00145DF5">
        <w:rPr>
          <w:rFonts w:ascii="Century Gothic" w:hAnsi="Century Gothic" w:cs="Arial"/>
          <w:sz w:val="28"/>
          <w:szCs w:val="28"/>
        </w:rPr>
        <w:t>–</w:t>
      </w:r>
      <w:r w:rsidRPr="00145DF5">
        <w:rPr>
          <w:rFonts w:ascii="Century Gothic" w:hAnsi="Century Gothic" w:cs="Arial"/>
          <w:sz w:val="28"/>
          <w:szCs w:val="28"/>
        </w:rPr>
        <w:t xml:space="preserve"> Para dirimir quaisquer questões decorrentes desta licitação, não resolvidas na esfera administrativa, será competente o </w:t>
      </w:r>
      <w:r w:rsidR="003C5116" w:rsidRPr="00145DF5">
        <w:rPr>
          <w:rFonts w:ascii="Century Gothic" w:hAnsi="Century Gothic" w:cs="Arial"/>
          <w:sz w:val="28"/>
          <w:szCs w:val="28"/>
        </w:rPr>
        <w:t>F</w:t>
      </w:r>
      <w:r w:rsidRPr="00145DF5">
        <w:rPr>
          <w:rFonts w:ascii="Century Gothic" w:hAnsi="Century Gothic" w:cs="Arial"/>
          <w:sz w:val="28"/>
          <w:szCs w:val="28"/>
        </w:rPr>
        <w:t>oro da Comarca d</w:t>
      </w:r>
      <w:r w:rsidR="00BE70D4" w:rsidRPr="00145DF5">
        <w:rPr>
          <w:rFonts w:ascii="Century Gothic" w:hAnsi="Century Gothic" w:cs="Arial"/>
          <w:sz w:val="28"/>
          <w:szCs w:val="28"/>
        </w:rPr>
        <w:t>e</w:t>
      </w:r>
      <w:r w:rsidRPr="00145DF5">
        <w:rPr>
          <w:rFonts w:ascii="Century Gothic" w:hAnsi="Century Gothic" w:cs="Arial"/>
          <w:sz w:val="28"/>
          <w:szCs w:val="28"/>
        </w:rPr>
        <w:t xml:space="preserve"> </w:t>
      </w:r>
      <w:r w:rsidR="00372C27" w:rsidRPr="00145DF5">
        <w:rPr>
          <w:rFonts w:ascii="Century Gothic" w:hAnsi="Century Gothic" w:cs="Arial"/>
          <w:sz w:val="28"/>
          <w:szCs w:val="28"/>
        </w:rPr>
        <w:t>Pirajuí</w:t>
      </w:r>
      <w:r w:rsidR="00F95766">
        <w:rPr>
          <w:rFonts w:ascii="Century Gothic" w:hAnsi="Century Gothic" w:cs="Arial"/>
          <w:sz w:val="28"/>
          <w:szCs w:val="28"/>
        </w:rPr>
        <w:t xml:space="preserve">, </w:t>
      </w:r>
      <w:r w:rsidRPr="00145DF5">
        <w:rPr>
          <w:rFonts w:ascii="Century Gothic" w:hAnsi="Century Gothic" w:cs="Arial"/>
          <w:sz w:val="28"/>
          <w:szCs w:val="28"/>
        </w:rPr>
        <w:t>Estado de São Paulo</w:t>
      </w:r>
      <w:r w:rsidR="009A5808" w:rsidRPr="00145DF5">
        <w:rPr>
          <w:rFonts w:ascii="Century Gothic" w:hAnsi="Century Gothic" w:cs="Arial"/>
          <w:sz w:val="28"/>
          <w:szCs w:val="28"/>
        </w:rPr>
        <w:t>.</w:t>
      </w:r>
    </w:p>
    <w:p w:rsidR="009A5808" w:rsidRDefault="009A5808" w:rsidP="00BE70D4">
      <w:pPr>
        <w:autoSpaceDE w:val="0"/>
        <w:autoSpaceDN w:val="0"/>
        <w:adjustRightInd w:val="0"/>
        <w:jc w:val="both"/>
        <w:rPr>
          <w:rFonts w:ascii="Century Gothic" w:hAnsi="Century Gothic" w:cs="Arial"/>
          <w:sz w:val="28"/>
          <w:szCs w:val="28"/>
        </w:rPr>
      </w:pPr>
    </w:p>
    <w:p w:rsidR="00534669" w:rsidRPr="00145DF5" w:rsidRDefault="00372C27" w:rsidP="00534669">
      <w:pPr>
        <w:autoSpaceDE w:val="0"/>
        <w:autoSpaceDN w:val="0"/>
        <w:adjustRightInd w:val="0"/>
        <w:jc w:val="center"/>
        <w:rPr>
          <w:rFonts w:ascii="Century Gothic" w:hAnsi="Century Gothic" w:cs="Arial"/>
          <w:b/>
          <w:sz w:val="28"/>
          <w:szCs w:val="28"/>
        </w:rPr>
      </w:pPr>
      <w:r w:rsidRPr="00145DF5">
        <w:rPr>
          <w:rFonts w:ascii="Century Gothic" w:hAnsi="Century Gothic" w:cs="Arial"/>
          <w:b/>
          <w:sz w:val="28"/>
          <w:szCs w:val="28"/>
        </w:rPr>
        <w:t xml:space="preserve">PIRAJUÍ, </w:t>
      </w:r>
      <w:r w:rsidR="008476C5">
        <w:rPr>
          <w:rFonts w:ascii="Century Gothic" w:hAnsi="Century Gothic" w:cs="Arial"/>
          <w:b/>
          <w:sz w:val="28"/>
          <w:szCs w:val="28"/>
        </w:rPr>
        <w:t>SEXTA</w:t>
      </w:r>
      <w:r w:rsidRPr="00145DF5">
        <w:rPr>
          <w:rFonts w:ascii="Century Gothic" w:hAnsi="Century Gothic" w:cs="Arial"/>
          <w:b/>
          <w:sz w:val="28"/>
          <w:szCs w:val="28"/>
        </w:rPr>
        <w:t xml:space="preserve">-FEIRA, </w:t>
      </w:r>
      <w:r w:rsidR="008476C5">
        <w:rPr>
          <w:rFonts w:ascii="Century Gothic" w:hAnsi="Century Gothic" w:cs="Arial"/>
          <w:b/>
          <w:sz w:val="28"/>
          <w:szCs w:val="28"/>
        </w:rPr>
        <w:t>17</w:t>
      </w:r>
      <w:r w:rsidRPr="00145DF5">
        <w:rPr>
          <w:rFonts w:ascii="Century Gothic" w:hAnsi="Century Gothic" w:cs="Arial"/>
          <w:b/>
          <w:sz w:val="28"/>
          <w:szCs w:val="28"/>
        </w:rPr>
        <w:t xml:space="preserve"> DE </w:t>
      </w:r>
      <w:r w:rsidR="008476C5">
        <w:rPr>
          <w:rFonts w:ascii="Century Gothic" w:hAnsi="Century Gothic" w:cs="Arial"/>
          <w:b/>
          <w:sz w:val="28"/>
          <w:szCs w:val="28"/>
        </w:rPr>
        <w:t>MARÇO</w:t>
      </w:r>
      <w:r w:rsidRPr="00145DF5">
        <w:rPr>
          <w:rFonts w:ascii="Century Gothic" w:hAnsi="Century Gothic" w:cs="Arial"/>
          <w:b/>
          <w:sz w:val="28"/>
          <w:szCs w:val="28"/>
        </w:rPr>
        <w:t xml:space="preserve"> DE </w:t>
      </w:r>
      <w:r w:rsidR="00697877" w:rsidRPr="00145DF5">
        <w:rPr>
          <w:rFonts w:ascii="Century Gothic" w:hAnsi="Century Gothic" w:cs="Arial"/>
          <w:b/>
          <w:sz w:val="28"/>
          <w:szCs w:val="28"/>
        </w:rPr>
        <w:t>2017</w:t>
      </w:r>
      <w:r w:rsidR="00534669" w:rsidRPr="00145DF5">
        <w:rPr>
          <w:rFonts w:ascii="Century Gothic" w:hAnsi="Century Gothic" w:cs="Arial"/>
          <w:b/>
          <w:sz w:val="28"/>
          <w:szCs w:val="28"/>
        </w:rPr>
        <w:t>.</w:t>
      </w:r>
    </w:p>
    <w:p w:rsidR="00372C27" w:rsidRDefault="00372C27" w:rsidP="00534669">
      <w:pPr>
        <w:autoSpaceDE w:val="0"/>
        <w:autoSpaceDN w:val="0"/>
        <w:adjustRightInd w:val="0"/>
        <w:jc w:val="both"/>
        <w:rPr>
          <w:rFonts w:ascii="Century Gothic" w:hAnsi="Century Gothic" w:cs="Arial"/>
          <w:sz w:val="28"/>
          <w:szCs w:val="28"/>
        </w:rPr>
      </w:pPr>
    </w:p>
    <w:p w:rsidR="00145DF5" w:rsidRDefault="00145DF5" w:rsidP="00534669">
      <w:pPr>
        <w:autoSpaceDE w:val="0"/>
        <w:autoSpaceDN w:val="0"/>
        <w:adjustRightInd w:val="0"/>
        <w:jc w:val="both"/>
        <w:rPr>
          <w:rFonts w:ascii="Century Gothic" w:hAnsi="Century Gothic" w:cs="Arial"/>
          <w:sz w:val="28"/>
          <w:szCs w:val="28"/>
        </w:rPr>
      </w:pPr>
    </w:p>
    <w:p w:rsidR="00145DF5" w:rsidRPr="00145DF5" w:rsidRDefault="00145DF5" w:rsidP="00534669">
      <w:pPr>
        <w:autoSpaceDE w:val="0"/>
        <w:autoSpaceDN w:val="0"/>
        <w:adjustRightInd w:val="0"/>
        <w:jc w:val="both"/>
        <w:rPr>
          <w:rFonts w:ascii="Century Gothic" w:hAnsi="Century Gothic" w:cs="Arial"/>
          <w:sz w:val="28"/>
          <w:szCs w:val="28"/>
        </w:rPr>
      </w:pPr>
    </w:p>
    <w:p w:rsidR="00534669" w:rsidRPr="00145DF5" w:rsidRDefault="00145DF5" w:rsidP="00534669">
      <w:pPr>
        <w:autoSpaceDE w:val="0"/>
        <w:autoSpaceDN w:val="0"/>
        <w:adjustRightInd w:val="0"/>
        <w:jc w:val="center"/>
        <w:rPr>
          <w:rFonts w:ascii="Century Gothic" w:hAnsi="Century Gothic" w:cs="Arial"/>
          <w:b/>
          <w:sz w:val="28"/>
          <w:szCs w:val="28"/>
        </w:rPr>
      </w:pPr>
      <w:r>
        <w:rPr>
          <w:rFonts w:ascii="Century Gothic" w:hAnsi="Century Gothic" w:cs="Arial"/>
          <w:b/>
          <w:sz w:val="28"/>
          <w:szCs w:val="28"/>
        </w:rPr>
        <w:t>CESAR HENRIQUE DA CUNHA FIALA</w:t>
      </w:r>
    </w:p>
    <w:p w:rsidR="009A5808" w:rsidRPr="00145DF5" w:rsidRDefault="00534669" w:rsidP="00534669">
      <w:pPr>
        <w:jc w:val="center"/>
        <w:rPr>
          <w:rFonts w:ascii="Century Gothic" w:hAnsi="Century Gothic"/>
          <w:sz w:val="28"/>
          <w:szCs w:val="28"/>
        </w:rPr>
      </w:pPr>
      <w:r w:rsidRPr="00145DF5">
        <w:rPr>
          <w:rFonts w:ascii="Century Gothic" w:hAnsi="Century Gothic" w:cs="Arial"/>
          <w:b/>
          <w:sz w:val="28"/>
          <w:szCs w:val="28"/>
        </w:rPr>
        <w:t>PREFEI</w:t>
      </w:r>
      <w:r w:rsidR="00145DF5">
        <w:rPr>
          <w:rFonts w:ascii="Century Gothic" w:hAnsi="Century Gothic" w:cs="Arial"/>
          <w:b/>
          <w:sz w:val="28"/>
          <w:szCs w:val="28"/>
        </w:rPr>
        <w:t>TO</w:t>
      </w:r>
      <w:r w:rsidRPr="00145DF5">
        <w:rPr>
          <w:rFonts w:ascii="Century Gothic" w:hAnsi="Century Gothic" w:cs="Arial"/>
          <w:b/>
          <w:sz w:val="28"/>
          <w:szCs w:val="28"/>
        </w:rPr>
        <w:t xml:space="preserve"> MUNICIPAL DE PIRAJUÍ</w:t>
      </w:r>
    </w:p>
    <w:p w:rsidR="009A5808" w:rsidRPr="00145DF5" w:rsidRDefault="009A5808" w:rsidP="00BE70D4">
      <w:pPr>
        <w:autoSpaceDE w:val="0"/>
        <w:autoSpaceDN w:val="0"/>
        <w:adjustRightInd w:val="0"/>
        <w:jc w:val="center"/>
        <w:rPr>
          <w:rFonts w:ascii="Century Gothic" w:hAnsi="Century Gothic" w:cs="Arial"/>
          <w:b/>
          <w:bCs/>
          <w:sz w:val="28"/>
          <w:szCs w:val="28"/>
        </w:rPr>
      </w:pPr>
      <w:r w:rsidRPr="00145DF5">
        <w:rPr>
          <w:rFonts w:ascii="Century Gothic" w:hAnsi="Century Gothic" w:cs="Arial"/>
          <w:b/>
          <w:bCs/>
          <w:sz w:val="28"/>
          <w:szCs w:val="28"/>
        </w:rPr>
        <w:br w:type="page"/>
      </w:r>
      <w:r w:rsidRPr="00145DF5">
        <w:rPr>
          <w:rFonts w:ascii="Century Gothic" w:hAnsi="Century Gothic" w:cs="Arial"/>
          <w:b/>
          <w:bCs/>
          <w:sz w:val="28"/>
          <w:szCs w:val="28"/>
        </w:rPr>
        <w:lastRenderedPageBreak/>
        <w:t>ANEXO I – RECIBO DE RETIRADA DE EDITAL PELA INTERNET</w:t>
      </w:r>
    </w:p>
    <w:p w:rsidR="009A5808" w:rsidRPr="00145DF5" w:rsidRDefault="00CE76BB" w:rsidP="00BE70D4">
      <w:pPr>
        <w:autoSpaceDE w:val="0"/>
        <w:autoSpaceDN w:val="0"/>
        <w:adjustRightInd w:val="0"/>
        <w:jc w:val="center"/>
        <w:rPr>
          <w:rFonts w:ascii="Century Gothic" w:hAnsi="Century Gothic" w:cs="Arial"/>
          <w:b/>
          <w:bCs/>
          <w:sz w:val="28"/>
          <w:szCs w:val="28"/>
        </w:rPr>
      </w:pPr>
      <w:r w:rsidRPr="00145DF5">
        <w:rPr>
          <w:rFonts w:ascii="Century Gothic" w:hAnsi="Century Gothic" w:cs="Arial"/>
          <w:b/>
          <w:bCs/>
          <w:sz w:val="28"/>
          <w:szCs w:val="28"/>
        </w:rPr>
        <w:t xml:space="preserve">PREGÃO (PRESENCIAL) N° </w:t>
      </w:r>
      <w:r w:rsidR="00ED459C" w:rsidRPr="00145DF5">
        <w:rPr>
          <w:rFonts w:ascii="Century Gothic" w:hAnsi="Century Gothic" w:cs="Arial"/>
          <w:b/>
          <w:bCs/>
          <w:sz w:val="28"/>
          <w:szCs w:val="28"/>
        </w:rPr>
        <w:t>00</w:t>
      </w:r>
      <w:r w:rsidR="008476C5">
        <w:rPr>
          <w:rFonts w:ascii="Century Gothic" w:hAnsi="Century Gothic" w:cs="Arial"/>
          <w:b/>
          <w:bCs/>
          <w:sz w:val="28"/>
          <w:szCs w:val="28"/>
        </w:rPr>
        <w:t>6</w:t>
      </w:r>
      <w:r w:rsidR="00ED459C" w:rsidRPr="00145DF5">
        <w:rPr>
          <w:rFonts w:ascii="Century Gothic" w:hAnsi="Century Gothic" w:cs="Arial"/>
          <w:b/>
          <w:bCs/>
          <w:sz w:val="28"/>
          <w:szCs w:val="28"/>
        </w:rPr>
        <w:t>/2017</w:t>
      </w:r>
    </w:p>
    <w:p w:rsidR="009A5808" w:rsidRPr="00145DF5" w:rsidRDefault="00CE76BB" w:rsidP="00BE70D4">
      <w:pPr>
        <w:autoSpaceDE w:val="0"/>
        <w:autoSpaceDN w:val="0"/>
        <w:adjustRightInd w:val="0"/>
        <w:jc w:val="center"/>
        <w:rPr>
          <w:rFonts w:ascii="Century Gothic" w:hAnsi="Century Gothic" w:cs="Arial"/>
          <w:b/>
          <w:bCs/>
          <w:sz w:val="28"/>
          <w:szCs w:val="28"/>
        </w:rPr>
      </w:pPr>
      <w:r w:rsidRPr="00145DF5">
        <w:rPr>
          <w:rFonts w:ascii="Century Gothic" w:hAnsi="Century Gothic" w:cs="Arial"/>
          <w:b/>
          <w:bCs/>
          <w:sz w:val="28"/>
          <w:szCs w:val="28"/>
        </w:rPr>
        <w:t xml:space="preserve">PROCESSO N° </w:t>
      </w:r>
      <w:r w:rsidR="008476C5">
        <w:rPr>
          <w:rFonts w:ascii="Century Gothic" w:hAnsi="Century Gothic" w:cs="Arial"/>
          <w:b/>
          <w:bCs/>
          <w:sz w:val="28"/>
          <w:szCs w:val="28"/>
        </w:rPr>
        <w:t>01</w:t>
      </w:r>
      <w:r w:rsidR="00ED459C" w:rsidRPr="00145DF5">
        <w:rPr>
          <w:rFonts w:ascii="Century Gothic" w:hAnsi="Century Gothic" w:cs="Arial"/>
          <w:b/>
          <w:bCs/>
          <w:sz w:val="28"/>
          <w:szCs w:val="28"/>
        </w:rPr>
        <w:t>1/2017</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sz w:val="28"/>
          <w:szCs w:val="28"/>
        </w:rPr>
        <w:t>Denominação:</w:t>
      </w: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sz w:val="28"/>
          <w:szCs w:val="28"/>
        </w:rPr>
        <w:t>CNPJ:</w:t>
      </w: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sz w:val="28"/>
          <w:szCs w:val="28"/>
        </w:rPr>
        <w:t>Endereço:</w:t>
      </w: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sz w:val="28"/>
          <w:szCs w:val="28"/>
        </w:rPr>
        <w:t>E-mail:</w:t>
      </w: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sz w:val="28"/>
          <w:szCs w:val="28"/>
        </w:rPr>
        <w:t>Cidade:</w:t>
      </w: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sz w:val="28"/>
          <w:szCs w:val="28"/>
        </w:rPr>
        <w:t>Estado:</w:t>
      </w: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sz w:val="28"/>
          <w:szCs w:val="28"/>
        </w:rPr>
        <w:t>Telefone:</w:t>
      </w:r>
    </w:p>
    <w:p w:rsidR="009A5808" w:rsidRPr="00145DF5" w:rsidRDefault="009A5808" w:rsidP="00BE70D4">
      <w:pPr>
        <w:autoSpaceDE w:val="0"/>
        <w:autoSpaceDN w:val="0"/>
        <w:adjustRightInd w:val="0"/>
        <w:jc w:val="both"/>
        <w:rPr>
          <w:rFonts w:ascii="Century Gothic" w:hAnsi="Century Gothic" w:cs="Arial"/>
          <w:b/>
          <w:sz w:val="28"/>
          <w:szCs w:val="28"/>
        </w:rPr>
      </w:pPr>
      <w:r w:rsidRPr="00145DF5">
        <w:rPr>
          <w:rFonts w:ascii="Century Gothic" w:hAnsi="Century Gothic" w:cs="Arial"/>
          <w:sz w:val="28"/>
          <w:szCs w:val="28"/>
        </w:rPr>
        <w:t>Fax:</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sz w:val="28"/>
          <w:szCs w:val="28"/>
        </w:rPr>
        <w:t>Obtivemos, através do acesso à página www.</w:t>
      </w:r>
      <w:r w:rsidR="00534669" w:rsidRPr="00145DF5">
        <w:rPr>
          <w:rFonts w:ascii="Century Gothic" w:hAnsi="Century Gothic" w:cs="Arial"/>
          <w:sz w:val="28"/>
          <w:szCs w:val="28"/>
        </w:rPr>
        <w:t>pirajui</w:t>
      </w:r>
      <w:r w:rsidRPr="00145DF5">
        <w:rPr>
          <w:rFonts w:ascii="Century Gothic" w:hAnsi="Century Gothic" w:cs="Arial"/>
          <w:sz w:val="28"/>
          <w:szCs w:val="28"/>
        </w:rPr>
        <w:t>.sp.gov.br, nesta data, cópia do instrumento convocatório da licitação acima identificada.</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5432B5" w:rsidP="00BE70D4">
      <w:pPr>
        <w:autoSpaceDE w:val="0"/>
        <w:autoSpaceDN w:val="0"/>
        <w:adjustRightInd w:val="0"/>
        <w:jc w:val="both"/>
        <w:rPr>
          <w:rFonts w:ascii="Century Gothic" w:hAnsi="Century Gothic" w:cs="Arial"/>
          <w:sz w:val="28"/>
          <w:szCs w:val="28"/>
        </w:rPr>
      </w:pPr>
      <w:r w:rsidRPr="00145DF5">
        <w:rPr>
          <w:rFonts w:ascii="Century Gothic" w:hAnsi="Century Gothic" w:cs="Arial"/>
          <w:sz w:val="28"/>
          <w:szCs w:val="28"/>
        </w:rPr>
        <w:t>Local:</w:t>
      </w:r>
      <w:r w:rsidRPr="00145DF5">
        <w:rPr>
          <w:rFonts w:ascii="Century Gothic" w:hAnsi="Century Gothic" w:cs="Arial"/>
          <w:sz w:val="28"/>
          <w:szCs w:val="28"/>
        </w:rPr>
        <w:tab/>
      </w:r>
      <w:r w:rsidRPr="00145DF5">
        <w:rPr>
          <w:rFonts w:ascii="Century Gothic" w:hAnsi="Century Gothic" w:cs="Arial"/>
          <w:sz w:val="28"/>
          <w:szCs w:val="28"/>
        </w:rPr>
        <w:tab/>
        <w:t xml:space="preserve">, de </w:t>
      </w:r>
      <w:r w:rsidRPr="00145DF5">
        <w:rPr>
          <w:rFonts w:ascii="Century Gothic" w:hAnsi="Century Gothic" w:cs="Arial"/>
          <w:sz w:val="28"/>
          <w:szCs w:val="28"/>
        </w:rPr>
        <w:tab/>
      </w:r>
      <w:r w:rsidRPr="00145DF5">
        <w:rPr>
          <w:rFonts w:ascii="Century Gothic" w:hAnsi="Century Gothic" w:cs="Arial"/>
          <w:sz w:val="28"/>
          <w:szCs w:val="28"/>
        </w:rPr>
        <w:tab/>
        <w:t xml:space="preserve">de </w:t>
      </w:r>
      <w:r w:rsidRPr="00145DF5">
        <w:rPr>
          <w:rFonts w:ascii="Century Gothic" w:hAnsi="Century Gothic" w:cs="Arial"/>
          <w:sz w:val="28"/>
          <w:szCs w:val="28"/>
        </w:rPr>
        <w:tab/>
      </w:r>
      <w:r w:rsidRPr="00145DF5">
        <w:rPr>
          <w:rFonts w:ascii="Century Gothic" w:hAnsi="Century Gothic" w:cs="Arial"/>
          <w:sz w:val="28"/>
          <w:szCs w:val="28"/>
        </w:rPr>
        <w:tab/>
      </w:r>
      <w:r w:rsidR="00697877" w:rsidRPr="00145DF5">
        <w:rPr>
          <w:rFonts w:ascii="Century Gothic" w:hAnsi="Century Gothic" w:cs="Arial"/>
          <w:sz w:val="28"/>
          <w:szCs w:val="28"/>
        </w:rPr>
        <w:t>2017</w:t>
      </w:r>
      <w:r w:rsidR="009A5808" w:rsidRPr="00145DF5">
        <w:rPr>
          <w:rFonts w:ascii="Century Gothic" w:hAnsi="Century Gothic" w:cs="Arial"/>
          <w:sz w:val="28"/>
          <w:szCs w:val="28"/>
        </w:rPr>
        <w:t>.</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sz w:val="28"/>
          <w:szCs w:val="28"/>
        </w:rPr>
        <w:t>Nome:</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sz w:val="28"/>
          <w:szCs w:val="28"/>
        </w:rPr>
        <w:t>Senhor Licitante,</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C60AED" w:rsidP="00BE70D4">
      <w:pPr>
        <w:autoSpaceDE w:val="0"/>
        <w:autoSpaceDN w:val="0"/>
        <w:adjustRightInd w:val="0"/>
        <w:jc w:val="both"/>
        <w:rPr>
          <w:rFonts w:ascii="Century Gothic" w:hAnsi="Century Gothic" w:cs="Arial"/>
          <w:sz w:val="28"/>
          <w:szCs w:val="28"/>
        </w:rPr>
      </w:pPr>
      <w:r w:rsidRPr="00D1041D">
        <w:rPr>
          <w:rFonts w:ascii="Century Gothic" w:hAnsi="Century Gothic" w:cs="Arial"/>
          <w:sz w:val="28"/>
          <w:szCs w:val="28"/>
        </w:rPr>
        <w:t xml:space="preserve">Visando à comunicação futura entre este Município de Pirajuí e sua empresa, solicitamos a Vossa Senhoria preencher o recibo de retirada do Edital e remetê-lo à </w:t>
      </w:r>
      <w:r w:rsidRPr="00D1041D">
        <w:rPr>
          <w:rFonts w:ascii="Century Gothic" w:hAnsi="Century Gothic" w:cs="Calibri"/>
          <w:bCs/>
          <w:sz w:val="28"/>
          <w:szCs w:val="28"/>
        </w:rPr>
        <w:t>Diretoria de Divisão de Compras e Licitações</w:t>
      </w:r>
      <w:r w:rsidRPr="00D1041D">
        <w:rPr>
          <w:rFonts w:ascii="Century Gothic" w:hAnsi="Century Gothic" w:cs="Arial"/>
          <w:sz w:val="28"/>
          <w:szCs w:val="28"/>
        </w:rPr>
        <w:t>, pelo e-mail: licitacao@pirajui.sp.gov.br</w:t>
      </w:r>
      <w:r w:rsidR="009A5808" w:rsidRPr="00145DF5">
        <w:rPr>
          <w:rFonts w:ascii="Century Gothic" w:hAnsi="Century Gothic" w:cs="Arial"/>
          <w:sz w:val="28"/>
          <w:szCs w:val="28"/>
        </w:rPr>
        <w:t>.</w:t>
      </w:r>
    </w:p>
    <w:p w:rsidR="00C60AED" w:rsidRDefault="00C60AED"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sz w:val="28"/>
          <w:szCs w:val="28"/>
        </w:rPr>
        <w:t xml:space="preserve">A não remessa do recibo exime </w:t>
      </w:r>
      <w:r w:rsidR="009002CF" w:rsidRPr="00145DF5">
        <w:rPr>
          <w:rFonts w:ascii="Century Gothic" w:hAnsi="Century Gothic" w:cs="Arial"/>
          <w:sz w:val="28"/>
          <w:szCs w:val="28"/>
        </w:rPr>
        <w:t>o</w:t>
      </w:r>
      <w:r w:rsidRPr="00145DF5">
        <w:rPr>
          <w:rFonts w:ascii="Century Gothic" w:hAnsi="Century Gothic" w:cs="Arial"/>
          <w:sz w:val="28"/>
          <w:szCs w:val="28"/>
        </w:rPr>
        <w:t xml:space="preserve"> </w:t>
      </w:r>
      <w:r w:rsidR="009002CF" w:rsidRPr="00145DF5">
        <w:rPr>
          <w:rFonts w:ascii="Century Gothic" w:hAnsi="Century Gothic" w:cs="Arial"/>
          <w:sz w:val="28"/>
          <w:szCs w:val="28"/>
        </w:rPr>
        <w:t xml:space="preserve">Município de </w:t>
      </w:r>
      <w:r w:rsidR="00534669" w:rsidRPr="00145DF5">
        <w:rPr>
          <w:rFonts w:ascii="Century Gothic" w:hAnsi="Century Gothic" w:cs="Arial"/>
          <w:sz w:val="28"/>
          <w:szCs w:val="28"/>
        </w:rPr>
        <w:t>Pirajuí</w:t>
      </w:r>
      <w:r w:rsidRPr="00145DF5">
        <w:rPr>
          <w:rFonts w:ascii="Century Gothic" w:hAnsi="Century Gothic" w:cs="Arial"/>
          <w:sz w:val="28"/>
          <w:szCs w:val="28"/>
        </w:rPr>
        <w:t xml:space="preserve"> da comunicação, por meio de fax ou e-mail, de eventuais esclarecimentos e retificações ocorridas no instrumento convocatório, bem como de quaisquer informações adicionais, não cabendo posteriormente qualquer reclamação.</w:t>
      </w:r>
    </w:p>
    <w:p w:rsidR="009A5808" w:rsidRPr="00145DF5" w:rsidRDefault="009A5808" w:rsidP="00BE70D4">
      <w:pPr>
        <w:autoSpaceDE w:val="0"/>
        <w:autoSpaceDN w:val="0"/>
        <w:adjustRightInd w:val="0"/>
        <w:jc w:val="center"/>
        <w:rPr>
          <w:rFonts w:ascii="Century Gothic" w:hAnsi="Century Gothic" w:cs="Arial"/>
          <w:b/>
          <w:bCs/>
          <w:sz w:val="28"/>
          <w:szCs w:val="28"/>
        </w:rPr>
      </w:pPr>
      <w:r w:rsidRPr="00145DF5">
        <w:rPr>
          <w:rFonts w:ascii="Century Gothic" w:hAnsi="Century Gothic" w:cs="Arial"/>
          <w:b/>
          <w:bCs/>
          <w:sz w:val="28"/>
          <w:szCs w:val="28"/>
        </w:rPr>
        <w:br w:type="page"/>
      </w:r>
      <w:r w:rsidRPr="00145DF5">
        <w:rPr>
          <w:rFonts w:ascii="Century Gothic" w:hAnsi="Century Gothic" w:cs="Arial"/>
          <w:b/>
          <w:bCs/>
          <w:sz w:val="28"/>
          <w:szCs w:val="28"/>
        </w:rPr>
        <w:lastRenderedPageBreak/>
        <w:t>ANEXO II – MEMORIAL DESCRITIVO</w:t>
      </w:r>
    </w:p>
    <w:p w:rsidR="000F612C" w:rsidRPr="00145DF5" w:rsidRDefault="000F612C" w:rsidP="000F612C">
      <w:pPr>
        <w:autoSpaceDE w:val="0"/>
        <w:autoSpaceDN w:val="0"/>
        <w:adjustRightInd w:val="0"/>
        <w:jc w:val="center"/>
        <w:rPr>
          <w:rFonts w:ascii="Century Gothic" w:hAnsi="Century Gothic" w:cs="Arial"/>
          <w:b/>
          <w:bCs/>
          <w:sz w:val="28"/>
          <w:szCs w:val="28"/>
        </w:rPr>
      </w:pPr>
      <w:r w:rsidRPr="00145DF5">
        <w:rPr>
          <w:rFonts w:ascii="Century Gothic" w:hAnsi="Century Gothic" w:cs="Arial"/>
          <w:b/>
          <w:bCs/>
          <w:sz w:val="28"/>
          <w:szCs w:val="28"/>
        </w:rPr>
        <w:t>PREGÃO (PRESENCIAL) N° 00</w:t>
      </w:r>
      <w:r w:rsidR="008476C5">
        <w:rPr>
          <w:rFonts w:ascii="Century Gothic" w:hAnsi="Century Gothic" w:cs="Arial"/>
          <w:b/>
          <w:bCs/>
          <w:sz w:val="28"/>
          <w:szCs w:val="28"/>
        </w:rPr>
        <w:t>6</w:t>
      </w:r>
      <w:r w:rsidRPr="00145DF5">
        <w:rPr>
          <w:rFonts w:ascii="Century Gothic" w:hAnsi="Century Gothic" w:cs="Arial"/>
          <w:b/>
          <w:bCs/>
          <w:sz w:val="28"/>
          <w:szCs w:val="28"/>
        </w:rPr>
        <w:t>/2017</w:t>
      </w:r>
    </w:p>
    <w:p w:rsidR="000F612C" w:rsidRPr="00145DF5" w:rsidRDefault="000F612C" w:rsidP="000F612C">
      <w:pPr>
        <w:autoSpaceDE w:val="0"/>
        <w:autoSpaceDN w:val="0"/>
        <w:adjustRightInd w:val="0"/>
        <w:jc w:val="center"/>
        <w:rPr>
          <w:rFonts w:ascii="Century Gothic" w:hAnsi="Century Gothic" w:cs="Arial"/>
          <w:b/>
          <w:bCs/>
          <w:sz w:val="28"/>
          <w:szCs w:val="28"/>
        </w:rPr>
      </w:pPr>
      <w:r w:rsidRPr="00145DF5">
        <w:rPr>
          <w:rFonts w:ascii="Century Gothic" w:hAnsi="Century Gothic" w:cs="Arial"/>
          <w:b/>
          <w:bCs/>
          <w:sz w:val="28"/>
          <w:szCs w:val="28"/>
        </w:rPr>
        <w:t>PROCESSO N° 0</w:t>
      </w:r>
      <w:r w:rsidR="008476C5">
        <w:rPr>
          <w:rFonts w:ascii="Century Gothic" w:hAnsi="Century Gothic" w:cs="Arial"/>
          <w:b/>
          <w:bCs/>
          <w:sz w:val="28"/>
          <w:szCs w:val="28"/>
        </w:rPr>
        <w:t>11</w:t>
      </w:r>
      <w:r w:rsidRPr="00145DF5">
        <w:rPr>
          <w:rFonts w:ascii="Century Gothic" w:hAnsi="Century Gothic" w:cs="Arial"/>
          <w:b/>
          <w:bCs/>
          <w:sz w:val="28"/>
          <w:szCs w:val="28"/>
        </w:rPr>
        <w:t>/2017</w:t>
      </w:r>
    </w:p>
    <w:p w:rsidR="002044C3" w:rsidRPr="00145DF5" w:rsidRDefault="002044C3" w:rsidP="00BE70D4">
      <w:pPr>
        <w:autoSpaceDE w:val="0"/>
        <w:autoSpaceDN w:val="0"/>
        <w:adjustRightInd w:val="0"/>
        <w:jc w:val="center"/>
        <w:rPr>
          <w:rFonts w:ascii="Century Gothic" w:hAnsi="Century Gothic" w:cs="Arial"/>
          <w:b/>
          <w:sz w:val="28"/>
          <w:szCs w:val="28"/>
        </w:rPr>
      </w:pPr>
    </w:p>
    <w:p w:rsidR="00DF3F6D" w:rsidRPr="00145DF5" w:rsidRDefault="002044C3" w:rsidP="00DF3F6D">
      <w:pPr>
        <w:widowControl w:val="0"/>
        <w:jc w:val="both"/>
        <w:rPr>
          <w:rFonts w:ascii="Century Gothic" w:hAnsi="Century Gothic" w:cs="Arial"/>
          <w:bCs/>
          <w:sz w:val="28"/>
          <w:szCs w:val="28"/>
        </w:rPr>
      </w:pPr>
      <w:r w:rsidRPr="00145DF5">
        <w:rPr>
          <w:rFonts w:ascii="Century Gothic" w:eastAsia="MS Mincho" w:hAnsi="Century Gothic" w:cs="Arial"/>
          <w:b/>
          <w:bCs/>
          <w:sz w:val="28"/>
          <w:szCs w:val="28"/>
        </w:rPr>
        <w:t xml:space="preserve">1 – OBJETO: </w:t>
      </w:r>
      <w:r w:rsidR="008476C5">
        <w:rPr>
          <w:rFonts w:ascii="Century Gothic" w:hAnsi="Century Gothic" w:cs="Arial"/>
          <w:bCs/>
          <w:sz w:val="28"/>
          <w:szCs w:val="28"/>
        </w:rPr>
        <w:t xml:space="preserve">Registro de Preços para a </w:t>
      </w:r>
      <w:r w:rsidR="008476C5" w:rsidRPr="007E1C15">
        <w:rPr>
          <w:rFonts w:ascii="Century Gothic" w:hAnsi="Century Gothic"/>
          <w:sz w:val="28"/>
          <w:szCs w:val="28"/>
        </w:rPr>
        <w:t xml:space="preserve">Aquisição de </w:t>
      </w:r>
      <w:r w:rsidR="008476C5">
        <w:rPr>
          <w:rFonts w:ascii="Century Gothic" w:hAnsi="Century Gothic"/>
          <w:sz w:val="28"/>
          <w:szCs w:val="28"/>
        </w:rPr>
        <w:t xml:space="preserve">Materiais de Laboratório, </w:t>
      </w:r>
      <w:r w:rsidR="008476C5" w:rsidRPr="00202367">
        <w:rPr>
          <w:rFonts w:ascii="Century Gothic" w:hAnsi="Century Gothic"/>
          <w:sz w:val="28"/>
          <w:szCs w:val="28"/>
        </w:rPr>
        <w:t>para o Centro de Saúde II “Doutor Jorge Meirelles da Rocha”, localizado na Rua Riachuelo n</w:t>
      </w:r>
      <w:r w:rsidR="008476C5" w:rsidRPr="00202367">
        <w:rPr>
          <w:rFonts w:ascii="Century Gothic" w:hAnsi="Century Gothic"/>
          <w:bCs/>
          <w:sz w:val="28"/>
          <w:szCs w:val="28"/>
        </w:rPr>
        <w:t>° 910 – Centro – Pirajuí – SP,</w:t>
      </w:r>
      <w:r w:rsidR="008476C5" w:rsidRPr="00202367">
        <w:rPr>
          <w:rFonts w:ascii="Century Gothic" w:hAnsi="Century Gothic"/>
          <w:sz w:val="28"/>
          <w:szCs w:val="28"/>
        </w:rPr>
        <w:t xml:space="preserve"> conforme especificações constantes do </w:t>
      </w:r>
      <w:r w:rsidR="008476C5" w:rsidRPr="00202367">
        <w:rPr>
          <w:rFonts w:ascii="Century Gothic" w:hAnsi="Century Gothic"/>
          <w:b/>
          <w:bCs/>
          <w:sz w:val="28"/>
          <w:szCs w:val="28"/>
        </w:rPr>
        <w:t>Anexo II – Memorial Descritivo</w:t>
      </w:r>
      <w:r w:rsidR="008476C5" w:rsidRPr="000B4352">
        <w:rPr>
          <w:rFonts w:ascii="Century Gothic" w:hAnsi="Century Gothic" w:cs="Arial"/>
          <w:bCs/>
          <w:sz w:val="28"/>
          <w:szCs w:val="28"/>
        </w:rPr>
        <w:t>.</w:t>
      </w:r>
    </w:p>
    <w:p w:rsidR="002044C3" w:rsidRPr="00145DF5" w:rsidRDefault="002044C3" w:rsidP="00BE70D4">
      <w:pPr>
        <w:autoSpaceDE w:val="0"/>
        <w:autoSpaceDN w:val="0"/>
        <w:adjustRightInd w:val="0"/>
        <w:jc w:val="both"/>
        <w:rPr>
          <w:rFonts w:ascii="Century Gothic" w:hAnsi="Century Gothic" w:cs="Arial"/>
          <w:sz w:val="28"/>
          <w:szCs w:val="28"/>
        </w:rPr>
      </w:pPr>
    </w:p>
    <w:p w:rsidR="002044C3" w:rsidRPr="00145DF5" w:rsidRDefault="00372C27" w:rsidP="00372C27">
      <w:pPr>
        <w:autoSpaceDE w:val="0"/>
        <w:autoSpaceDN w:val="0"/>
        <w:adjustRightInd w:val="0"/>
        <w:jc w:val="both"/>
        <w:rPr>
          <w:rFonts w:ascii="Century Gothic" w:hAnsi="Century Gothic" w:cs="Arial"/>
          <w:b/>
          <w:sz w:val="28"/>
          <w:szCs w:val="28"/>
        </w:rPr>
      </w:pPr>
      <w:r w:rsidRPr="00145DF5">
        <w:rPr>
          <w:rFonts w:ascii="Century Gothic" w:hAnsi="Century Gothic" w:cs="Arial"/>
          <w:b/>
          <w:sz w:val="28"/>
          <w:szCs w:val="28"/>
        </w:rPr>
        <w:t xml:space="preserve">2 </w:t>
      </w:r>
      <w:r w:rsidR="002044C3" w:rsidRPr="00145DF5">
        <w:rPr>
          <w:rFonts w:ascii="Century Gothic" w:hAnsi="Century Gothic" w:cs="Arial"/>
          <w:b/>
          <w:sz w:val="28"/>
          <w:szCs w:val="28"/>
        </w:rPr>
        <w:t>– CARACTERÍSTICAS:</w:t>
      </w:r>
    </w:p>
    <w:p w:rsidR="00240BD1" w:rsidRDefault="00240BD1" w:rsidP="00240BD1">
      <w:pPr>
        <w:pStyle w:val="PargrafodaLista"/>
        <w:autoSpaceDE w:val="0"/>
        <w:autoSpaceDN w:val="0"/>
        <w:adjustRightInd w:val="0"/>
        <w:spacing w:after="0" w:line="240" w:lineRule="auto"/>
        <w:ind w:left="0"/>
        <w:jc w:val="both"/>
        <w:rPr>
          <w:rFonts w:ascii="Century Gothic" w:hAnsi="Century Gothic" w:cs="Arial"/>
          <w:sz w:val="24"/>
          <w:szCs w:val="24"/>
        </w:rPr>
      </w:pPr>
    </w:p>
    <w:tbl>
      <w:tblPr>
        <w:tblW w:w="10353" w:type="dxa"/>
        <w:tblInd w:w="65" w:type="dxa"/>
        <w:tblCellMar>
          <w:left w:w="70" w:type="dxa"/>
          <w:right w:w="70" w:type="dxa"/>
        </w:tblCellMar>
        <w:tblLook w:val="04A0"/>
      </w:tblPr>
      <w:tblGrid>
        <w:gridCol w:w="858"/>
        <w:gridCol w:w="6218"/>
        <w:gridCol w:w="1434"/>
        <w:gridCol w:w="1843"/>
      </w:tblGrid>
      <w:tr w:rsidR="00997A59" w:rsidRPr="00C60AED" w:rsidTr="00C60AED">
        <w:trPr>
          <w:trHeight w:val="315"/>
        </w:trPr>
        <w:tc>
          <w:tcPr>
            <w:tcW w:w="85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997A59" w:rsidRPr="00C60AED" w:rsidRDefault="00C60AED" w:rsidP="00C60AED">
            <w:pPr>
              <w:jc w:val="center"/>
              <w:rPr>
                <w:rFonts w:ascii="Century Gothic" w:hAnsi="Century Gothic" w:cs="Arial"/>
                <w:b/>
                <w:bCs/>
                <w:sz w:val="24"/>
                <w:szCs w:val="24"/>
              </w:rPr>
            </w:pPr>
            <w:r w:rsidRPr="00C60AED">
              <w:rPr>
                <w:rFonts w:ascii="Century Gothic" w:hAnsi="Century Gothic" w:cs="Arial"/>
                <w:b/>
                <w:bCs/>
                <w:sz w:val="24"/>
                <w:szCs w:val="24"/>
              </w:rPr>
              <w:t>ITEM</w:t>
            </w:r>
          </w:p>
        </w:tc>
        <w:tc>
          <w:tcPr>
            <w:tcW w:w="6218"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997A59" w:rsidRPr="00C60AED" w:rsidRDefault="00997A59" w:rsidP="00C60AED">
            <w:pPr>
              <w:jc w:val="center"/>
              <w:rPr>
                <w:rFonts w:ascii="Century Gothic" w:hAnsi="Century Gothic" w:cs="Arial"/>
                <w:b/>
                <w:bCs/>
                <w:sz w:val="24"/>
                <w:szCs w:val="24"/>
              </w:rPr>
            </w:pPr>
            <w:r w:rsidRPr="00C60AED">
              <w:rPr>
                <w:rFonts w:ascii="Century Gothic" w:hAnsi="Century Gothic" w:cs="Arial"/>
                <w:b/>
                <w:bCs/>
                <w:sz w:val="24"/>
                <w:szCs w:val="24"/>
              </w:rPr>
              <w:t>DISCRIMINAÇÃO</w:t>
            </w:r>
          </w:p>
        </w:tc>
        <w:tc>
          <w:tcPr>
            <w:tcW w:w="1434"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997A59" w:rsidRPr="00C60AED" w:rsidRDefault="00997A59" w:rsidP="00C60AED">
            <w:pPr>
              <w:jc w:val="center"/>
              <w:rPr>
                <w:rFonts w:ascii="Century Gothic" w:hAnsi="Century Gothic" w:cs="Arial"/>
                <w:b/>
                <w:bCs/>
                <w:sz w:val="24"/>
                <w:szCs w:val="24"/>
              </w:rPr>
            </w:pPr>
            <w:r w:rsidRPr="00C60AED">
              <w:rPr>
                <w:rFonts w:ascii="Century Gothic" w:hAnsi="Century Gothic" w:cs="Arial"/>
                <w:b/>
                <w:bCs/>
                <w:sz w:val="24"/>
                <w:szCs w:val="24"/>
              </w:rPr>
              <w:t>UNIDADE</w:t>
            </w:r>
          </w:p>
        </w:tc>
        <w:tc>
          <w:tcPr>
            <w:tcW w:w="1843"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997A59" w:rsidRPr="00C60AED" w:rsidRDefault="00997A59" w:rsidP="00C60AED">
            <w:pPr>
              <w:jc w:val="center"/>
              <w:rPr>
                <w:rFonts w:ascii="Century Gothic" w:hAnsi="Century Gothic" w:cs="Arial"/>
                <w:b/>
                <w:bCs/>
                <w:sz w:val="24"/>
                <w:szCs w:val="24"/>
              </w:rPr>
            </w:pPr>
            <w:r w:rsidRPr="00C60AED">
              <w:rPr>
                <w:rFonts w:ascii="Century Gothic" w:hAnsi="Century Gothic" w:cs="Arial"/>
                <w:b/>
                <w:bCs/>
                <w:sz w:val="24"/>
                <w:szCs w:val="24"/>
              </w:rPr>
              <w:t>QUANTIDADE</w:t>
            </w:r>
            <w:r w:rsidR="00C60AED" w:rsidRPr="00C60AED">
              <w:rPr>
                <w:rFonts w:ascii="Century Gothic" w:hAnsi="Century Gothic" w:cs="Arial"/>
                <w:b/>
                <w:bCs/>
                <w:sz w:val="24"/>
                <w:szCs w:val="24"/>
              </w:rPr>
              <w:t>*</w:t>
            </w:r>
          </w:p>
        </w:tc>
      </w:tr>
      <w:tr w:rsidR="00997A59" w:rsidRPr="00997A59" w:rsidTr="00C60AED">
        <w:trPr>
          <w:trHeight w:val="315"/>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nil"/>
              <w:bottom w:val="single" w:sz="4" w:space="0" w:color="auto"/>
              <w:right w:val="single" w:sz="4" w:space="0" w:color="000000"/>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Adaptador de agulhas para coleta de sangue  a vácuo</w:t>
            </w:r>
          </w:p>
        </w:tc>
        <w:tc>
          <w:tcPr>
            <w:tcW w:w="1434"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Unidade</w:t>
            </w:r>
          </w:p>
        </w:tc>
        <w:tc>
          <w:tcPr>
            <w:tcW w:w="1843"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500</w:t>
            </w:r>
          </w:p>
        </w:tc>
      </w:tr>
      <w:tr w:rsidR="00997A59" w:rsidRPr="00997A59" w:rsidTr="00C60AED">
        <w:trPr>
          <w:trHeight w:val="315"/>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nil"/>
              <w:bottom w:val="single" w:sz="4" w:space="0" w:color="auto"/>
              <w:right w:val="single" w:sz="4" w:space="0" w:color="000000"/>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Água destilada de 5 litros</w:t>
            </w:r>
          </w:p>
        </w:tc>
        <w:tc>
          <w:tcPr>
            <w:tcW w:w="1434"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Galão</w:t>
            </w:r>
          </w:p>
        </w:tc>
        <w:tc>
          <w:tcPr>
            <w:tcW w:w="1843"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250</w:t>
            </w:r>
          </w:p>
        </w:tc>
      </w:tr>
      <w:tr w:rsidR="00997A59" w:rsidRPr="00997A59" w:rsidTr="00C60AED">
        <w:trPr>
          <w:trHeight w:val="315"/>
        </w:trPr>
        <w:tc>
          <w:tcPr>
            <w:tcW w:w="858" w:type="dxa"/>
            <w:tcBorders>
              <w:top w:val="nil"/>
              <w:left w:val="single" w:sz="4" w:space="0" w:color="auto"/>
              <w:bottom w:val="single" w:sz="4" w:space="0" w:color="auto"/>
              <w:right w:val="nil"/>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nil"/>
              <w:left w:val="single" w:sz="4" w:space="0" w:color="auto"/>
              <w:bottom w:val="single" w:sz="4" w:space="0" w:color="auto"/>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Agulhas de coleta múltipla p/ tubo à vácuo 25 x 7 c/ trava de segurança</w:t>
            </w:r>
          </w:p>
        </w:tc>
        <w:tc>
          <w:tcPr>
            <w:tcW w:w="1434" w:type="dxa"/>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Caixa</w:t>
            </w:r>
          </w:p>
        </w:tc>
        <w:tc>
          <w:tcPr>
            <w:tcW w:w="1843"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150</w:t>
            </w:r>
          </w:p>
        </w:tc>
      </w:tr>
      <w:tr w:rsidR="00997A59" w:rsidRPr="00997A59" w:rsidTr="00C60AED">
        <w:trPr>
          <w:trHeight w:val="315"/>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nil"/>
              <w:bottom w:val="single" w:sz="4" w:space="0" w:color="auto"/>
              <w:right w:val="single" w:sz="4" w:space="0" w:color="auto"/>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Agulhas de coleta múltipla p/ tubo à vácuo 25 x 8 c/ trava de segurança</w:t>
            </w:r>
          </w:p>
        </w:tc>
        <w:tc>
          <w:tcPr>
            <w:tcW w:w="1434"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Caixa</w:t>
            </w:r>
          </w:p>
        </w:tc>
        <w:tc>
          <w:tcPr>
            <w:tcW w:w="1843"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140</w:t>
            </w:r>
          </w:p>
        </w:tc>
      </w:tr>
      <w:tr w:rsidR="00997A59" w:rsidRPr="00997A59" w:rsidTr="00C60AED">
        <w:trPr>
          <w:trHeight w:val="315"/>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nil"/>
              <w:bottom w:val="single" w:sz="4" w:space="0" w:color="auto"/>
              <w:right w:val="single" w:sz="4" w:space="0" w:color="auto"/>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Álcool isopropílico 1000 ml</w:t>
            </w:r>
          </w:p>
        </w:tc>
        <w:tc>
          <w:tcPr>
            <w:tcW w:w="1434"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Unidade</w:t>
            </w:r>
          </w:p>
        </w:tc>
        <w:tc>
          <w:tcPr>
            <w:tcW w:w="1843"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2</w:t>
            </w:r>
          </w:p>
        </w:tc>
      </w:tr>
      <w:tr w:rsidR="00997A59" w:rsidRPr="00997A59" w:rsidTr="00C60AED">
        <w:trPr>
          <w:trHeight w:val="315"/>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nil"/>
              <w:bottom w:val="single" w:sz="4" w:space="0" w:color="auto"/>
              <w:right w:val="single" w:sz="4" w:space="0" w:color="auto"/>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Calculadora simples</w:t>
            </w:r>
          </w:p>
        </w:tc>
        <w:tc>
          <w:tcPr>
            <w:tcW w:w="1434"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Unidade</w:t>
            </w:r>
          </w:p>
        </w:tc>
        <w:tc>
          <w:tcPr>
            <w:tcW w:w="1843"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2</w:t>
            </w:r>
          </w:p>
        </w:tc>
      </w:tr>
      <w:tr w:rsidR="00997A59" w:rsidRPr="00997A59" w:rsidTr="00C60AED">
        <w:trPr>
          <w:trHeight w:val="300"/>
        </w:trPr>
        <w:tc>
          <w:tcPr>
            <w:tcW w:w="858" w:type="dxa"/>
            <w:tcBorders>
              <w:top w:val="nil"/>
              <w:left w:val="single" w:sz="4" w:space="0" w:color="auto"/>
              <w:bottom w:val="single" w:sz="4" w:space="0" w:color="auto"/>
              <w:right w:val="nil"/>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Calibrador de Glicohemoglobina</w:t>
            </w:r>
          </w:p>
        </w:tc>
        <w:tc>
          <w:tcPr>
            <w:tcW w:w="1434"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Caixa</w:t>
            </w:r>
          </w:p>
        </w:tc>
        <w:tc>
          <w:tcPr>
            <w:tcW w:w="1843"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5</w:t>
            </w:r>
          </w:p>
        </w:tc>
      </w:tr>
      <w:tr w:rsidR="00997A59" w:rsidRPr="00997A59" w:rsidTr="00C60AED">
        <w:trPr>
          <w:trHeight w:val="315"/>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nil"/>
              <w:bottom w:val="single" w:sz="4" w:space="0" w:color="auto"/>
              <w:right w:val="single" w:sz="4" w:space="0" w:color="auto"/>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Cálice de sedimentação com suporte para exames de fezes tamanho pequeno</w:t>
            </w:r>
          </w:p>
        </w:tc>
        <w:tc>
          <w:tcPr>
            <w:tcW w:w="1434"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Unidade</w:t>
            </w:r>
          </w:p>
        </w:tc>
        <w:tc>
          <w:tcPr>
            <w:tcW w:w="1843"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50</w:t>
            </w:r>
          </w:p>
        </w:tc>
      </w:tr>
      <w:tr w:rsidR="00997A59" w:rsidRPr="00997A59" w:rsidTr="00C60AED">
        <w:trPr>
          <w:trHeight w:val="30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nil"/>
              <w:bottom w:val="single" w:sz="4" w:space="0" w:color="auto"/>
              <w:right w:val="single" w:sz="4" w:space="0" w:color="auto"/>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Caneta de retroprojetor preta</w:t>
            </w:r>
          </w:p>
        </w:tc>
        <w:tc>
          <w:tcPr>
            <w:tcW w:w="1434"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Caixa</w:t>
            </w:r>
          </w:p>
        </w:tc>
        <w:tc>
          <w:tcPr>
            <w:tcW w:w="1843"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60</w:t>
            </w:r>
          </w:p>
        </w:tc>
      </w:tr>
      <w:tr w:rsidR="00997A59" w:rsidRPr="00997A59" w:rsidTr="00C60AED">
        <w:trPr>
          <w:trHeight w:val="30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nil"/>
              <w:bottom w:val="single" w:sz="4" w:space="0" w:color="auto"/>
              <w:right w:val="single" w:sz="4" w:space="0" w:color="auto"/>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Caneta de retroprojetor azul</w:t>
            </w:r>
          </w:p>
        </w:tc>
        <w:tc>
          <w:tcPr>
            <w:tcW w:w="1434"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Caixa</w:t>
            </w:r>
          </w:p>
        </w:tc>
        <w:tc>
          <w:tcPr>
            <w:tcW w:w="1843"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60</w:t>
            </w:r>
          </w:p>
        </w:tc>
      </w:tr>
      <w:tr w:rsidR="00997A59" w:rsidRPr="00997A59" w:rsidTr="00C60AED">
        <w:trPr>
          <w:trHeight w:val="315"/>
        </w:trPr>
        <w:tc>
          <w:tcPr>
            <w:tcW w:w="858" w:type="dxa"/>
            <w:tcBorders>
              <w:top w:val="nil"/>
              <w:left w:val="single" w:sz="4" w:space="0" w:color="auto"/>
              <w:bottom w:val="single" w:sz="4" w:space="0" w:color="auto"/>
              <w:right w:val="nil"/>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Canudinhos plásticos de calibre pequeno</w:t>
            </w:r>
          </w:p>
        </w:tc>
        <w:tc>
          <w:tcPr>
            <w:tcW w:w="1434"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Unidade</w:t>
            </w:r>
          </w:p>
        </w:tc>
        <w:tc>
          <w:tcPr>
            <w:tcW w:w="1843"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3.000</w:t>
            </w:r>
          </w:p>
        </w:tc>
      </w:tr>
      <w:tr w:rsidR="00997A59" w:rsidRPr="00997A59" w:rsidTr="00C60AED">
        <w:trPr>
          <w:trHeight w:val="315"/>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nil"/>
              <w:bottom w:val="single" w:sz="4" w:space="0" w:color="auto"/>
              <w:right w:val="single" w:sz="4" w:space="0" w:color="auto"/>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Coador plástico pequeno 7,5 cm</w:t>
            </w:r>
          </w:p>
        </w:tc>
        <w:tc>
          <w:tcPr>
            <w:tcW w:w="1434"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Unidade</w:t>
            </w:r>
          </w:p>
        </w:tc>
        <w:tc>
          <w:tcPr>
            <w:tcW w:w="1843"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12</w:t>
            </w:r>
          </w:p>
        </w:tc>
      </w:tr>
      <w:tr w:rsidR="00997A59" w:rsidRPr="00997A59" w:rsidTr="00C60AED">
        <w:trPr>
          <w:trHeight w:val="315"/>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nil"/>
              <w:bottom w:val="single" w:sz="4" w:space="0" w:color="auto"/>
              <w:right w:val="single" w:sz="4" w:space="0" w:color="000000"/>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Coletor universal c/ vedação hermética, travamento com até 1/4 de volta não estéril</w:t>
            </w:r>
          </w:p>
        </w:tc>
        <w:tc>
          <w:tcPr>
            <w:tcW w:w="1434"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Unidade</w:t>
            </w:r>
          </w:p>
        </w:tc>
        <w:tc>
          <w:tcPr>
            <w:tcW w:w="1843"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7.000</w:t>
            </w:r>
          </w:p>
        </w:tc>
      </w:tr>
      <w:tr w:rsidR="00997A59" w:rsidRPr="00997A59" w:rsidTr="00C60AED">
        <w:trPr>
          <w:trHeight w:val="315"/>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nil"/>
              <w:bottom w:val="single" w:sz="4" w:space="0" w:color="auto"/>
              <w:right w:val="single" w:sz="4" w:space="0" w:color="auto"/>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Coletor universal c/ vedação hermética, travamento com até 1/4 de volta estéril</w:t>
            </w:r>
          </w:p>
        </w:tc>
        <w:tc>
          <w:tcPr>
            <w:tcW w:w="1434"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Unidade</w:t>
            </w:r>
          </w:p>
        </w:tc>
        <w:tc>
          <w:tcPr>
            <w:tcW w:w="1843"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7.000</w:t>
            </w:r>
          </w:p>
        </w:tc>
      </w:tr>
      <w:tr w:rsidR="00997A59" w:rsidRPr="00997A59" w:rsidTr="00C60AED">
        <w:trPr>
          <w:trHeight w:val="315"/>
        </w:trPr>
        <w:tc>
          <w:tcPr>
            <w:tcW w:w="858" w:type="dxa"/>
            <w:tcBorders>
              <w:top w:val="nil"/>
              <w:left w:val="single" w:sz="4" w:space="0" w:color="auto"/>
              <w:bottom w:val="single" w:sz="4" w:space="0" w:color="auto"/>
              <w:right w:val="nil"/>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Coletores infantis de urina femininos c/ 10 unidades cada</w:t>
            </w:r>
          </w:p>
        </w:tc>
        <w:tc>
          <w:tcPr>
            <w:tcW w:w="1434"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Caixa</w:t>
            </w:r>
          </w:p>
        </w:tc>
        <w:tc>
          <w:tcPr>
            <w:tcW w:w="1843"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24</w:t>
            </w:r>
          </w:p>
        </w:tc>
      </w:tr>
      <w:tr w:rsidR="00997A59" w:rsidRPr="00997A59" w:rsidTr="00C60AED">
        <w:trPr>
          <w:trHeight w:val="315"/>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nil"/>
              <w:bottom w:val="nil"/>
              <w:right w:val="single" w:sz="4" w:space="0" w:color="auto"/>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Coletores infantis de urina masculinos c/ 10 unidades cada</w:t>
            </w:r>
          </w:p>
        </w:tc>
        <w:tc>
          <w:tcPr>
            <w:tcW w:w="1434"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Caixa</w:t>
            </w:r>
          </w:p>
        </w:tc>
        <w:tc>
          <w:tcPr>
            <w:tcW w:w="1843"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24</w:t>
            </w:r>
          </w:p>
        </w:tc>
      </w:tr>
      <w:tr w:rsidR="00997A59" w:rsidRPr="00997A59" w:rsidTr="00C60AED">
        <w:trPr>
          <w:trHeight w:val="315"/>
        </w:trPr>
        <w:tc>
          <w:tcPr>
            <w:tcW w:w="85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nil"/>
              <w:bottom w:val="nil"/>
              <w:right w:val="single" w:sz="4" w:space="0" w:color="000000"/>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 xml:space="preserve">Cronômetro digital resistente à água, para uso em laboratórios, marca horaminutose- </w:t>
            </w:r>
          </w:p>
        </w:tc>
        <w:tc>
          <w:tcPr>
            <w:tcW w:w="14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Unidade</w:t>
            </w:r>
          </w:p>
        </w:tc>
        <w:tc>
          <w:tcPr>
            <w:tcW w:w="184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5</w:t>
            </w:r>
          </w:p>
        </w:tc>
      </w:tr>
      <w:tr w:rsidR="00997A59" w:rsidRPr="00997A59" w:rsidTr="00C60AED">
        <w:trPr>
          <w:trHeight w:val="315"/>
        </w:trPr>
        <w:tc>
          <w:tcPr>
            <w:tcW w:w="858"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nil"/>
              <w:bottom w:val="single" w:sz="4" w:space="0" w:color="auto"/>
              <w:right w:val="single" w:sz="4" w:space="0" w:color="000000"/>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gundo; alarme sonoro para indicação da hora, bateria de lítio, precisão de 1100 segundos</w:t>
            </w:r>
          </w:p>
        </w:tc>
        <w:tc>
          <w:tcPr>
            <w:tcW w:w="1434"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15"/>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nil"/>
              <w:bottom w:val="single" w:sz="4" w:space="0" w:color="auto"/>
              <w:right w:val="single" w:sz="4" w:space="0" w:color="auto"/>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Escova p/ lavar tubo de ensaio 12 x 75 mm</w:t>
            </w:r>
          </w:p>
        </w:tc>
        <w:tc>
          <w:tcPr>
            <w:tcW w:w="1434"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Unidade</w:t>
            </w:r>
          </w:p>
        </w:tc>
        <w:tc>
          <w:tcPr>
            <w:tcW w:w="1843"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10</w:t>
            </w:r>
          </w:p>
        </w:tc>
      </w:tr>
      <w:tr w:rsidR="00997A59" w:rsidRPr="00997A59" w:rsidTr="00C60AED">
        <w:trPr>
          <w:trHeight w:val="315"/>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nil"/>
              <w:bottom w:val="single" w:sz="4" w:space="0" w:color="auto"/>
              <w:right w:val="single" w:sz="4" w:space="0" w:color="auto"/>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Escova p/ lavar tubo de ensaio 15 x 100 mm</w:t>
            </w:r>
          </w:p>
        </w:tc>
        <w:tc>
          <w:tcPr>
            <w:tcW w:w="1434"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Unidade</w:t>
            </w:r>
          </w:p>
        </w:tc>
        <w:tc>
          <w:tcPr>
            <w:tcW w:w="1843"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10</w:t>
            </w:r>
          </w:p>
        </w:tc>
      </w:tr>
      <w:tr w:rsidR="00997A59" w:rsidRPr="00997A59" w:rsidTr="00C60AED">
        <w:trPr>
          <w:trHeight w:val="315"/>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nil"/>
              <w:bottom w:val="single" w:sz="4" w:space="0" w:color="auto"/>
              <w:right w:val="single" w:sz="4" w:space="0" w:color="auto"/>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Estante para tubo de ensaio 15 x 100 mm p/ 24 tubos (amianto)</w:t>
            </w:r>
          </w:p>
        </w:tc>
        <w:tc>
          <w:tcPr>
            <w:tcW w:w="1434"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Unidade</w:t>
            </w:r>
          </w:p>
        </w:tc>
        <w:tc>
          <w:tcPr>
            <w:tcW w:w="1843"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2</w:t>
            </w:r>
          </w:p>
        </w:tc>
      </w:tr>
      <w:tr w:rsidR="00997A59" w:rsidRPr="00997A59" w:rsidTr="00C60AED">
        <w:trPr>
          <w:trHeight w:val="30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nil"/>
              <w:bottom w:val="single" w:sz="4" w:space="0" w:color="auto"/>
              <w:right w:val="single" w:sz="4" w:space="0" w:color="auto"/>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Estante para tubo de ensaio 16 x 100 mm p/ 24 tubos (amianto)</w:t>
            </w:r>
          </w:p>
        </w:tc>
        <w:tc>
          <w:tcPr>
            <w:tcW w:w="1434"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Unidade</w:t>
            </w:r>
          </w:p>
        </w:tc>
        <w:tc>
          <w:tcPr>
            <w:tcW w:w="1843"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2</w:t>
            </w:r>
          </w:p>
        </w:tc>
      </w:tr>
      <w:tr w:rsidR="00997A59" w:rsidRPr="00997A59" w:rsidTr="00C60AED">
        <w:trPr>
          <w:trHeight w:val="315"/>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nil"/>
              <w:bottom w:val="single" w:sz="4" w:space="0" w:color="auto"/>
              <w:right w:val="single" w:sz="4" w:space="0" w:color="auto"/>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Estante para 20 tubos de ensaio em arame revestido de PVC</w:t>
            </w:r>
          </w:p>
        </w:tc>
        <w:tc>
          <w:tcPr>
            <w:tcW w:w="1434"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Unidade</w:t>
            </w:r>
          </w:p>
        </w:tc>
        <w:tc>
          <w:tcPr>
            <w:tcW w:w="1843"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12</w:t>
            </w:r>
          </w:p>
        </w:tc>
      </w:tr>
      <w:tr w:rsidR="00997A59" w:rsidRPr="00997A59" w:rsidTr="00C60AED">
        <w:trPr>
          <w:trHeight w:val="315"/>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nil"/>
              <w:bottom w:val="single" w:sz="4" w:space="0" w:color="auto"/>
              <w:right w:val="single" w:sz="4" w:space="0" w:color="auto"/>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Estante para 40 tubos de ensaio em arame revestido de PVC.</w:t>
            </w:r>
          </w:p>
        </w:tc>
        <w:tc>
          <w:tcPr>
            <w:tcW w:w="1434"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Unidade</w:t>
            </w:r>
          </w:p>
        </w:tc>
        <w:tc>
          <w:tcPr>
            <w:tcW w:w="1843"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12</w:t>
            </w:r>
          </w:p>
        </w:tc>
      </w:tr>
      <w:tr w:rsidR="00997A59" w:rsidRPr="00997A59" w:rsidTr="00C60AED">
        <w:trPr>
          <w:trHeight w:val="315"/>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nil"/>
              <w:bottom w:val="single" w:sz="4" w:space="0" w:color="auto"/>
              <w:right w:val="single" w:sz="4" w:space="0" w:color="auto"/>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Etiquetas formulário contínuo 26 x 15 com 45.000 unidades</w:t>
            </w:r>
          </w:p>
        </w:tc>
        <w:tc>
          <w:tcPr>
            <w:tcW w:w="1434"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Caixa</w:t>
            </w:r>
          </w:p>
        </w:tc>
        <w:tc>
          <w:tcPr>
            <w:tcW w:w="1843"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2</w:t>
            </w:r>
          </w:p>
        </w:tc>
      </w:tr>
      <w:tr w:rsidR="00997A59" w:rsidRPr="00997A59" w:rsidTr="00C60AED">
        <w:trPr>
          <w:trHeight w:val="315"/>
        </w:trPr>
        <w:tc>
          <w:tcPr>
            <w:tcW w:w="85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nil"/>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Fita para impressão Extralife impressora printer riblon, ref. 1292 compatível com</w:t>
            </w:r>
          </w:p>
        </w:tc>
        <w:tc>
          <w:tcPr>
            <w:tcW w:w="14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Unidade</w:t>
            </w:r>
          </w:p>
        </w:tc>
        <w:tc>
          <w:tcPr>
            <w:tcW w:w="184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20</w:t>
            </w:r>
          </w:p>
        </w:tc>
      </w:tr>
      <w:tr w:rsidR="00997A59" w:rsidRPr="00997A59" w:rsidTr="00C60AED">
        <w:trPr>
          <w:trHeight w:val="315"/>
        </w:trPr>
        <w:tc>
          <w:tcPr>
            <w:tcW w:w="858"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nil"/>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equipamento tipo Epson Erc - 09B</w:t>
            </w:r>
          </w:p>
        </w:tc>
        <w:tc>
          <w:tcPr>
            <w:tcW w:w="1434"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8476C5" w:rsidRPr="00997A59" w:rsidTr="00C60AED">
        <w:trPr>
          <w:trHeight w:val="315"/>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8476C5" w:rsidRPr="00C60AED" w:rsidRDefault="008476C5"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nil"/>
              <w:bottom w:val="single" w:sz="4" w:space="0" w:color="auto"/>
              <w:right w:val="single" w:sz="4" w:space="0" w:color="auto"/>
            </w:tcBorders>
            <w:shd w:val="clear" w:color="auto" w:fill="auto"/>
            <w:noWrap/>
            <w:vAlign w:val="center"/>
            <w:hideMark/>
          </w:tcPr>
          <w:p w:rsidR="008476C5" w:rsidRPr="00C60AED" w:rsidRDefault="008476C5" w:rsidP="00C60AED">
            <w:pPr>
              <w:jc w:val="both"/>
              <w:rPr>
                <w:rFonts w:ascii="Century Gothic" w:hAnsi="Century Gothic" w:cs="Arial"/>
                <w:sz w:val="24"/>
                <w:szCs w:val="24"/>
              </w:rPr>
            </w:pPr>
            <w:r w:rsidRPr="00C60AED">
              <w:rPr>
                <w:rFonts w:ascii="Century Gothic" w:hAnsi="Century Gothic" w:cs="Arial"/>
                <w:sz w:val="24"/>
                <w:szCs w:val="24"/>
              </w:rPr>
              <w:t>Fita de máquina de somar de rolo 5,57 cm de largura</w:t>
            </w:r>
          </w:p>
        </w:tc>
        <w:tc>
          <w:tcPr>
            <w:tcW w:w="1434" w:type="dxa"/>
            <w:tcBorders>
              <w:top w:val="nil"/>
              <w:left w:val="nil"/>
              <w:bottom w:val="single" w:sz="4" w:space="0" w:color="auto"/>
              <w:right w:val="single" w:sz="4" w:space="0" w:color="auto"/>
            </w:tcBorders>
            <w:shd w:val="clear" w:color="auto" w:fill="auto"/>
            <w:noWrap/>
            <w:vAlign w:val="center"/>
            <w:hideMark/>
          </w:tcPr>
          <w:p w:rsidR="008476C5" w:rsidRPr="00C60AED" w:rsidRDefault="008476C5" w:rsidP="008476C5">
            <w:pPr>
              <w:jc w:val="center"/>
              <w:rPr>
                <w:rFonts w:ascii="Century Gothic" w:hAnsi="Century Gothic" w:cs="Arial"/>
                <w:sz w:val="24"/>
                <w:szCs w:val="24"/>
              </w:rPr>
            </w:pPr>
            <w:r w:rsidRPr="00C60AED">
              <w:rPr>
                <w:rFonts w:ascii="Century Gothic" w:hAnsi="Century Gothic" w:cs="Arial"/>
                <w:sz w:val="24"/>
                <w:szCs w:val="24"/>
              </w:rPr>
              <w:t>Unidade</w:t>
            </w:r>
          </w:p>
        </w:tc>
        <w:tc>
          <w:tcPr>
            <w:tcW w:w="1843" w:type="dxa"/>
            <w:tcBorders>
              <w:top w:val="nil"/>
              <w:left w:val="nil"/>
              <w:bottom w:val="single" w:sz="4" w:space="0" w:color="auto"/>
              <w:right w:val="single" w:sz="4" w:space="0" w:color="auto"/>
            </w:tcBorders>
            <w:shd w:val="clear" w:color="auto" w:fill="auto"/>
            <w:noWrap/>
            <w:vAlign w:val="center"/>
            <w:hideMark/>
          </w:tcPr>
          <w:p w:rsidR="008476C5" w:rsidRPr="00C60AED" w:rsidRDefault="008476C5" w:rsidP="008476C5">
            <w:pPr>
              <w:jc w:val="center"/>
              <w:rPr>
                <w:rFonts w:ascii="Century Gothic" w:hAnsi="Century Gothic" w:cs="Arial"/>
                <w:sz w:val="24"/>
                <w:szCs w:val="24"/>
              </w:rPr>
            </w:pPr>
            <w:r w:rsidRPr="00C60AED">
              <w:rPr>
                <w:rFonts w:ascii="Century Gothic" w:hAnsi="Century Gothic" w:cs="Arial"/>
                <w:sz w:val="24"/>
                <w:szCs w:val="24"/>
              </w:rPr>
              <w:t>7</w:t>
            </w:r>
          </w:p>
        </w:tc>
      </w:tr>
      <w:tr w:rsidR="00997A59" w:rsidRPr="00997A59" w:rsidTr="00C60AED">
        <w:trPr>
          <w:trHeight w:val="315"/>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nil"/>
              <w:bottom w:val="single" w:sz="4" w:space="0" w:color="auto"/>
              <w:right w:val="single" w:sz="4" w:space="0" w:color="auto"/>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Fita reativa para uroanálise com densidade c/ 100 tiras</w:t>
            </w:r>
          </w:p>
        </w:tc>
        <w:tc>
          <w:tcPr>
            <w:tcW w:w="1434"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Frasco</w:t>
            </w:r>
          </w:p>
        </w:tc>
        <w:tc>
          <w:tcPr>
            <w:tcW w:w="1843"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60</w:t>
            </w:r>
          </w:p>
        </w:tc>
      </w:tr>
      <w:tr w:rsidR="00997A59" w:rsidRPr="00997A59" w:rsidTr="00C60AED">
        <w:trPr>
          <w:trHeight w:val="315"/>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nil"/>
              <w:bottom w:val="single" w:sz="4" w:space="0" w:color="auto"/>
              <w:right w:val="single" w:sz="4" w:space="0" w:color="auto"/>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Fraldas de pano</w:t>
            </w:r>
          </w:p>
        </w:tc>
        <w:tc>
          <w:tcPr>
            <w:tcW w:w="1434"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Unidade</w:t>
            </w:r>
          </w:p>
        </w:tc>
        <w:tc>
          <w:tcPr>
            <w:tcW w:w="1843"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24</w:t>
            </w:r>
          </w:p>
        </w:tc>
      </w:tr>
      <w:tr w:rsidR="00997A59" w:rsidRPr="00997A59" w:rsidTr="00C60AED">
        <w:trPr>
          <w:trHeight w:val="315"/>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nil"/>
              <w:bottom w:val="single" w:sz="4" w:space="0" w:color="auto"/>
              <w:right w:val="single" w:sz="4" w:space="0" w:color="auto"/>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Frascos de cor âmbar com tampa de rosca de 100 ml de capacidade</w:t>
            </w:r>
          </w:p>
        </w:tc>
        <w:tc>
          <w:tcPr>
            <w:tcW w:w="1434"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Unidade</w:t>
            </w:r>
          </w:p>
        </w:tc>
        <w:tc>
          <w:tcPr>
            <w:tcW w:w="1843"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6</w:t>
            </w:r>
          </w:p>
        </w:tc>
      </w:tr>
      <w:tr w:rsidR="00997A59" w:rsidRPr="00997A59" w:rsidTr="00C60AED">
        <w:trPr>
          <w:trHeight w:val="315"/>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nil"/>
              <w:bottom w:val="single" w:sz="4" w:space="0" w:color="auto"/>
              <w:right w:val="single" w:sz="4" w:space="0" w:color="auto"/>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Frascos de cor âmbar com tampa de rosca de 500 ml de capacidade</w:t>
            </w:r>
          </w:p>
        </w:tc>
        <w:tc>
          <w:tcPr>
            <w:tcW w:w="1434"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Unidade</w:t>
            </w:r>
          </w:p>
        </w:tc>
        <w:tc>
          <w:tcPr>
            <w:tcW w:w="1843"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6</w:t>
            </w:r>
          </w:p>
        </w:tc>
      </w:tr>
      <w:tr w:rsidR="00997A59" w:rsidRPr="00997A59" w:rsidTr="00C60AED">
        <w:trPr>
          <w:trHeight w:val="315"/>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nil"/>
              <w:bottom w:val="single" w:sz="4" w:space="0" w:color="auto"/>
              <w:right w:val="single" w:sz="4" w:space="0" w:color="auto"/>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Frascos de cor âmbar com tampa de rosca de 1000 ml de capacidade</w:t>
            </w:r>
          </w:p>
        </w:tc>
        <w:tc>
          <w:tcPr>
            <w:tcW w:w="1434"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Unidade</w:t>
            </w:r>
          </w:p>
        </w:tc>
        <w:tc>
          <w:tcPr>
            <w:tcW w:w="1843"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6</w:t>
            </w:r>
          </w:p>
        </w:tc>
      </w:tr>
      <w:tr w:rsidR="00997A59" w:rsidRPr="00997A59" w:rsidTr="00C60AED">
        <w:trPr>
          <w:trHeight w:val="315"/>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nil"/>
              <w:bottom w:val="nil"/>
              <w:right w:val="single" w:sz="4" w:space="0" w:color="auto"/>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Frascos com 10 ml de óleo de imersão</w:t>
            </w:r>
          </w:p>
        </w:tc>
        <w:tc>
          <w:tcPr>
            <w:tcW w:w="1434"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Frasco</w:t>
            </w:r>
          </w:p>
        </w:tc>
        <w:tc>
          <w:tcPr>
            <w:tcW w:w="1843"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4</w:t>
            </w:r>
          </w:p>
        </w:tc>
      </w:tr>
      <w:tr w:rsidR="00997A59" w:rsidRPr="00997A59" w:rsidTr="00C60AED">
        <w:trPr>
          <w:trHeight w:val="315"/>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nil"/>
              <w:bottom w:val="single" w:sz="4" w:space="0" w:color="auto"/>
              <w:right w:val="single" w:sz="4" w:space="0" w:color="auto"/>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Funil de vidro pequeno para coar mucoproteína</w:t>
            </w:r>
          </w:p>
        </w:tc>
        <w:tc>
          <w:tcPr>
            <w:tcW w:w="1434"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Unidade</w:t>
            </w:r>
          </w:p>
        </w:tc>
        <w:tc>
          <w:tcPr>
            <w:tcW w:w="1843"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12</w:t>
            </w:r>
          </w:p>
        </w:tc>
      </w:tr>
      <w:tr w:rsidR="00997A59" w:rsidRPr="00997A59" w:rsidTr="00C60AED">
        <w:trPr>
          <w:trHeight w:val="315"/>
        </w:trPr>
        <w:tc>
          <w:tcPr>
            <w:tcW w:w="85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nil"/>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Kit BhCG Strip &amp; Card - Sensibilidade 20 UI no soro e urina com tempo de reação de 5</w:t>
            </w:r>
          </w:p>
        </w:tc>
        <w:tc>
          <w:tcPr>
            <w:tcW w:w="14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Caixa</w:t>
            </w:r>
          </w:p>
        </w:tc>
        <w:tc>
          <w:tcPr>
            <w:tcW w:w="184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80</w:t>
            </w:r>
          </w:p>
        </w:tc>
      </w:tr>
      <w:tr w:rsidR="00997A59" w:rsidRPr="00997A59" w:rsidTr="00C60AED">
        <w:trPr>
          <w:trHeight w:val="315"/>
        </w:trPr>
        <w:tc>
          <w:tcPr>
            <w:tcW w:w="858"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nil"/>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minutos, fração beta.</w:t>
            </w:r>
          </w:p>
        </w:tc>
        <w:tc>
          <w:tcPr>
            <w:tcW w:w="1434"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15"/>
        </w:trPr>
        <w:tc>
          <w:tcPr>
            <w:tcW w:w="858" w:type="dxa"/>
            <w:vMerge w:val="restart"/>
            <w:tcBorders>
              <w:top w:val="nil"/>
              <w:left w:val="single" w:sz="4" w:space="0" w:color="auto"/>
              <w:bottom w:val="nil"/>
              <w:right w:val="nil"/>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 xml:space="preserve">Kit de Fosfatase Alcalina conjunto para 100 </w:t>
            </w:r>
            <w:r w:rsidRPr="00C60AED">
              <w:rPr>
                <w:rFonts w:ascii="Century Gothic" w:hAnsi="Century Gothic" w:cs="Arial"/>
                <w:sz w:val="24"/>
                <w:szCs w:val="24"/>
              </w:rPr>
              <w:lastRenderedPageBreak/>
              <w:t xml:space="preserve">determinações de fosfatase alcalina, </w:t>
            </w:r>
          </w:p>
        </w:tc>
        <w:tc>
          <w:tcPr>
            <w:tcW w:w="14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lastRenderedPageBreak/>
              <w:t>Caixa</w:t>
            </w:r>
          </w:p>
        </w:tc>
        <w:tc>
          <w:tcPr>
            <w:tcW w:w="1843" w:type="dxa"/>
            <w:vMerge w:val="restart"/>
            <w:tcBorders>
              <w:top w:val="nil"/>
              <w:left w:val="single" w:sz="4" w:space="0" w:color="auto"/>
              <w:bottom w:val="nil"/>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15</w:t>
            </w:r>
          </w:p>
        </w:tc>
      </w:tr>
      <w:tr w:rsidR="00997A59" w:rsidRPr="00997A59" w:rsidTr="00C60AED">
        <w:trPr>
          <w:trHeight w:val="315"/>
        </w:trPr>
        <w:tc>
          <w:tcPr>
            <w:tcW w:w="858" w:type="dxa"/>
            <w:vMerge/>
            <w:tcBorders>
              <w:top w:val="nil"/>
              <w:left w:val="single" w:sz="4" w:space="0" w:color="auto"/>
              <w:bottom w:val="nil"/>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contendo : 1) Tampão: 2 frascos com 45 ml cada, de solução tamponada em pH 9,80,</w:t>
            </w:r>
          </w:p>
        </w:tc>
        <w:tc>
          <w:tcPr>
            <w:tcW w:w="1434"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nil"/>
              <w:left w:val="single" w:sz="4" w:space="0" w:color="auto"/>
              <w:bottom w:val="nil"/>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15"/>
        </w:trPr>
        <w:tc>
          <w:tcPr>
            <w:tcW w:w="858" w:type="dxa"/>
            <w:vMerge/>
            <w:tcBorders>
              <w:top w:val="nil"/>
              <w:left w:val="single" w:sz="4" w:space="0" w:color="auto"/>
              <w:bottom w:val="nil"/>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 xml:space="preserve"> contendo cloreto de magnésio 0,5 mmol/L e azida sódica 15, 5 mmol/L.</w:t>
            </w:r>
          </w:p>
        </w:tc>
        <w:tc>
          <w:tcPr>
            <w:tcW w:w="1434"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nil"/>
              <w:left w:val="single" w:sz="4" w:space="0" w:color="auto"/>
              <w:bottom w:val="nil"/>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15"/>
        </w:trPr>
        <w:tc>
          <w:tcPr>
            <w:tcW w:w="858" w:type="dxa"/>
            <w:vMerge/>
            <w:tcBorders>
              <w:top w:val="nil"/>
              <w:left w:val="single" w:sz="4" w:space="0" w:color="auto"/>
              <w:bottom w:val="nil"/>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Conservar entre 2 e 8º C.</w:t>
            </w:r>
          </w:p>
        </w:tc>
        <w:tc>
          <w:tcPr>
            <w:tcW w:w="1434"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nil"/>
              <w:left w:val="single" w:sz="4" w:space="0" w:color="auto"/>
              <w:bottom w:val="nil"/>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15"/>
        </w:trPr>
        <w:tc>
          <w:tcPr>
            <w:tcW w:w="858" w:type="dxa"/>
            <w:vMerge/>
            <w:tcBorders>
              <w:top w:val="nil"/>
              <w:left w:val="single" w:sz="4" w:space="0" w:color="auto"/>
              <w:bottom w:val="nil"/>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2) Substrato : 2 frascos com 5 ml cada, de solução aquosa 10x concentrada, contendo</w:t>
            </w:r>
          </w:p>
        </w:tc>
        <w:tc>
          <w:tcPr>
            <w:tcW w:w="1434"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nil"/>
              <w:left w:val="single" w:sz="4" w:space="0" w:color="auto"/>
              <w:bottom w:val="nil"/>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15"/>
        </w:trPr>
        <w:tc>
          <w:tcPr>
            <w:tcW w:w="858" w:type="dxa"/>
            <w:vMerge/>
            <w:tcBorders>
              <w:top w:val="nil"/>
              <w:left w:val="single" w:sz="4" w:space="0" w:color="auto"/>
              <w:bottom w:val="nil"/>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p-nitrofenilfosfato de sódio 100 mmol/L e azida sódica 15,5 mmol/L. Conservar entre</w:t>
            </w:r>
          </w:p>
        </w:tc>
        <w:tc>
          <w:tcPr>
            <w:tcW w:w="1434"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nil"/>
              <w:left w:val="single" w:sz="4" w:space="0" w:color="auto"/>
              <w:bottom w:val="nil"/>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15"/>
        </w:trPr>
        <w:tc>
          <w:tcPr>
            <w:tcW w:w="858" w:type="dxa"/>
            <w:vMerge/>
            <w:tcBorders>
              <w:top w:val="nil"/>
              <w:left w:val="single" w:sz="4" w:space="0" w:color="auto"/>
              <w:bottom w:val="nil"/>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2 e 8 ° C.</w:t>
            </w:r>
          </w:p>
        </w:tc>
        <w:tc>
          <w:tcPr>
            <w:tcW w:w="1434"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nil"/>
              <w:left w:val="single" w:sz="4" w:space="0" w:color="auto"/>
              <w:bottom w:val="nil"/>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15"/>
        </w:trPr>
        <w:tc>
          <w:tcPr>
            <w:tcW w:w="858" w:type="dxa"/>
            <w:vMerge w:val="restart"/>
            <w:tcBorders>
              <w:top w:val="single" w:sz="4" w:space="0" w:color="auto"/>
              <w:left w:val="single" w:sz="4" w:space="0" w:color="auto"/>
              <w:bottom w:val="nil"/>
              <w:right w:val="nil"/>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Kit de Amilase Cinético para determinações da quantidade de enzima amilase:</w:t>
            </w:r>
          </w:p>
        </w:tc>
        <w:tc>
          <w:tcPr>
            <w:tcW w:w="1434" w:type="dxa"/>
            <w:vMerge w:val="restart"/>
            <w:tcBorders>
              <w:top w:val="nil"/>
              <w:left w:val="single" w:sz="4" w:space="0" w:color="auto"/>
              <w:bottom w:val="nil"/>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Caixa</w:t>
            </w:r>
          </w:p>
        </w:tc>
        <w:tc>
          <w:tcPr>
            <w:tcW w:w="1843"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15</w:t>
            </w:r>
          </w:p>
        </w:tc>
      </w:tr>
      <w:tr w:rsidR="00997A59" w:rsidRPr="00997A59" w:rsidTr="00C60AED">
        <w:trPr>
          <w:trHeight w:val="315"/>
        </w:trPr>
        <w:tc>
          <w:tcPr>
            <w:tcW w:w="858" w:type="dxa"/>
            <w:vMerge/>
            <w:tcBorders>
              <w:top w:val="single" w:sz="4" w:space="0" w:color="auto"/>
              <w:left w:val="single" w:sz="4" w:space="0" w:color="auto"/>
              <w:bottom w:val="nil"/>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1)Reagente de Cor - 2 frascos com 30ml cada, de solução tamponada contendo tampão</w:t>
            </w:r>
          </w:p>
        </w:tc>
        <w:tc>
          <w:tcPr>
            <w:tcW w:w="1434" w:type="dxa"/>
            <w:vMerge/>
            <w:tcBorders>
              <w:top w:val="nil"/>
              <w:left w:val="single" w:sz="4" w:space="0" w:color="auto"/>
              <w:bottom w:val="nil"/>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single" w:sz="4" w:space="0" w:color="auto"/>
              <w:left w:val="single" w:sz="4" w:space="0" w:color="auto"/>
              <w:bottom w:val="nil"/>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15"/>
        </w:trPr>
        <w:tc>
          <w:tcPr>
            <w:tcW w:w="858" w:type="dxa"/>
            <w:vMerge/>
            <w:tcBorders>
              <w:top w:val="single" w:sz="4" w:space="0" w:color="auto"/>
              <w:left w:val="single" w:sz="4" w:space="0" w:color="auto"/>
              <w:bottom w:val="nil"/>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50 mmol/L pH 6,0, cloreto de sódio 300 mmol/L, 2-cloro-4nitrofenil -α -galactosimaltóside</w:t>
            </w:r>
          </w:p>
        </w:tc>
        <w:tc>
          <w:tcPr>
            <w:tcW w:w="1434" w:type="dxa"/>
            <w:vMerge/>
            <w:tcBorders>
              <w:top w:val="nil"/>
              <w:left w:val="single" w:sz="4" w:space="0" w:color="auto"/>
              <w:bottom w:val="nil"/>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single" w:sz="4" w:space="0" w:color="auto"/>
              <w:left w:val="single" w:sz="4" w:space="0" w:color="auto"/>
              <w:bottom w:val="nil"/>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15"/>
        </w:trPr>
        <w:tc>
          <w:tcPr>
            <w:tcW w:w="858" w:type="dxa"/>
            <w:vMerge/>
            <w:tcBorders>
              <w:top w:val="single" w:sz="4" w:space="0" w:color="auto"/>
              <w:left w:val="single" w:sz="4" w:space="0" w:color="auto"/>
              <w:bottom w:val="nil"/>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2,61 mmol/L, cloreto de cálcio 5,0 mmol/L, tiocianato de potássio 140mmol/L e azida só-</w:t>
            </w:r>
          </w:p>
        </w:tc>
        <w:tc>
          <w:tcPr>
            <w:tcW w:w="1434" w:type="dxa"/>
            <w:vMerge/>
            <w:tcBorders>
              <w:top w:val="nil"/>
              <w:left w:val="single" w:sz="4" w:space="0" w:color="auto"/>
              <w:bottom w:val="nil"/>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single" w:sz="4" w:space="0" w:color="auto"/>
              <w:left w:val="single" w:sz="4" w:space="0" w:color="auto"/>
              <w:bottom w:val="nil"/>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15"/>
        </w:trPr>
        <w:tc>
          <w:tcPr>
            <w:tcW w:w="858" w:type="dxa"/>
            <w:vMerge/>
            <w:tcBorders>
              <w:top w:val="single" w:sz="4" w:space="0" w:color="auto"/>
              <w:left w:val="single" w:sz="4" w:space="0" w:color="auto"/>
              <w:bottom w:val="nil"/>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dica 0,1g/dl. Conservar entre 2 e 8º C.</w:t>
            </w:r>
          </w:p>
        </w:tc>
        <w:tc>
          <w:tcPr>
            <w:tcW w:w="1434" w:type="dxa"/>
            <w:vMerge/>
            <w:tcBorders>
              <w:top w:val="nil"/>
              <w:left w:val="single" w:sz="4" w:space="0" w:color="auto"/>
              <w:bottom w:val="nil"/>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single" w:sz="4" w:space="0" w:color="auto"/>
              <w:left w:val="single" w:sz="4" w:space="0" w:color="auto"/>
              <w:bottom w:val="nil"/>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15"/>
        </w:trPr>
        <w:tc>
          <w:tcPr>
            <w:tcW w:w="858" w:type="dxa"/>
            <w:vMerge w:val="restart"/>
            <w:tcBorders>
              <w:top w:val="single" w:sz="4" w:space="0" w:color="auto"/>
              <w:left w:val="single" w:sz="4" w:space="0" w:color="auto"/>
              <w:bottom w:val="nil"/>
              <w:right w:val="nil"/>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Kit Glutamil transferase método cinético para dosagem de gama GT no soro:</w:t>
            </w:r>
          </w:p>
        </w:tc>
        <w:tc>
          <w:tcPr>
            <w:tcW w:w="1434"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Caixa</w:t>
            </w:r>
          </w:p>
        </w:tc>
        <w:tc>
          <w:tcPr>
            <w:tcW w:w="1843"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15</w:t>
            </w:r>
          </w:p>
        </w:tc>
      </w:tr>
      <w:tr w:rsidR="00997A59" w:rsidRPr="00997A59" w:rsidTr="00C60AED">
        <w:trPr>
          <w:trHeight w:val="315"/>
        </w:trPr>
        <w:tc>
          <w:tcPr>
            <w:tcW w:w="858" w:type="dxa"/>
            <w:vMerge/>
            <w:tcBorders>
              <w:top w:val="single" w:sz="4" w:space="0" w:color="auto"/>
              <w:left w:val="single" w:sz="4" w:space="0" w:color="auto"/>
              <w:bottom w:val="nil"/>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 xml:space="preserve">1)Reativo Tampão: solução tamponada de glicilglicina 138 mmol/L  pH = 8,25, volume 48 </w:t>
            </w:r>
          </w:p>
        </w:tc>
        <w:tc>
          <w:tcPr>
            <w:tcW w:w="1434" w:type="dxa"/>
            <w:vMerge/>
            <w:tcBorders>
              <w:top w:val="single" w:sz="4" w:space="0" w:color="auto"/>
              <w:left w:val="single" w:sz="4" w:space="0" w:color="auto"/>
              <w:bottom w:val="nil"/>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single" w:sz="4" w:space="0" w:color="auto"/>
              <w:left w:val="single" w:sz="4" w:space="0" w:color="auto"/>
              <w:bottom w:val="nil"/>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15"/>
        </w:trPr>
        <w:tc>
          <w:tcPr>
            <w:tcW w:w="858" w:type="dxa"/>
            <w:vMerge/>
            <w:tcBorders>
              <w:top w:val="single" w:sz="4" w:space="0" w:color="auto"/>
              <w:left w:val="single" w:sz="4" w:space="0" w:color="auto"/>
              <w:bottom w:val="nil"/>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ml, pronto para uso, estável a 2-8ºC, protegido da luz.</w:t>
            </w:r>
          </w:p>
        </w:tc>
        <w:tc>
          <w:tcPr>
            <w:tcW w:w="1434" w:type="dxa"/>
            <w:vMerge/>
            <w:tcBorders>
              <w:top w:val="single" w:sz="4" w:space="0" w:color="auto"/>
              <w:left w:val="single" w:sz="4" w:space="0" w:color="auto"/>
              <w:bottom w:val="nil"/>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single" w:sz="4" w:space="0" w:color="auto"/>
              <w:left w:val="single" w:sz="4" w:space="0" w:color="auto"/>
              <w:bottom w:val="nil"/>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15"/>
        </w:trPr>
        <w:tc>
          <w:tcPr>
            <w:tcW w:w="858" w:type="dxa"/>
            <w:vMerge/>
            <w:tcBorders>
              <w:top w:val="single" w:sz="4" w:space="0" w:color="auto"/>
              <w:left w:val="single" w:sz="4" w:space="0" w:color="auto"/>
              <w:bottom w:val="nil"/>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 xml:space="preserve">2)Reativo substrato: Solução estabilizada de Glupa-C, 23 mmol/L, volume 12 ml, pronto </w:t>
            </w:r>
          </w:p>
        </w:tc>
        <w:tc>
          <w:tcPr>
            <w:tcW w:w="1434" w:type="dxa"/>
            <w:vMerge/>
            <w:tcBorders>
              <w:top w:val="single" w:sz="4" w:space="0" w:color="auto"/>
              <w:left w:val="single" w:sz="4" w:space="0" w:color="auto"/>
              <w:bottom w:val="nil"/>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single" w:sz="4" w:space="0" w:color="auto"/>
              <w:left w:val="single" w:sz="4" w:space="0" w:color="auto"/>
              <w:bottom w:val="nil"/>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15"/>
        </w:trPr>
        <w:tc>
          <w:tcPr>
            <w:tcW w:w="858" w:type="dxa"/>
            <w:vMerge/>
            <w:tcBorders>
              <w:top w:val="single" w:sz="4" w:space="0" w:color="auto"/>
              <w:left w:val="single" w:sz="4" w:space="0" w:color="auto"/>
              <w:bottom w:val="nil"/>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para uso, estável a 2-8ºC, protegido da luz.</w:t>
            </w:r>
          </w:p>
        </w:tc>
        <w:tc>
          <w:tcPr>
            <w:tcW w:w="1434" w:type="dxa"/>
            <w:vMerge/>
            <w:tcBorders>
              <w:top w:val="single" w:sz="4" w:space="0" w:color="auto"/>
              <w:left w:val="single" w:sz="4" w:space="0" w:color="auto"/>
              <w:bottom w:val="nil"/>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single" w:sz="4" w:space="0" w:color="auto"/>
              <w:left w:val="single" w:sz="4" w:space="0" w:color="auto"/>
              <w:bottom w:val="nil"/>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15"/>
        </w:trPr>
        <w:tc>
          <w:tcPr>
            <w:tcW w:w="85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nil"/>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 xml:space="preserve">Kit de Glicohemoglobina monoteste para 50 testes contendo: 50 x 3,0 ml de resina de </w:t>
            </w:r>
          </w:p>
        </w:tc>
        <w:tc>
          <w:tcPr>
            <w:tcW w:w="14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Caixa</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20</w:t>
            </w:r>
          </w:p>
        </w:tc>
      </w:tr>
      <w:tr w:rsidR="00997A59" w:rsidRPr="00997A59" w:rsidTr="00C60AED">
        <w:trPr>
          <w:trHeight w:val="315"/>
        </w:trPr>
        <w:tc>
          <w:tcPr>
            <w:tcW w:w="858" w:type="dxa"/>
            <w:vMerge/>
            <w:tcBorders>
              <w:top w:val="single" w:sz="4" w:space="0" w:color="auto"/>
              <w:left w:val="single" w:sz="4" w:space="0" w:color="auto"/>
              <w:bottom w:val="single" w:sz="4" w:space="0" w:color="000000"/>
              <w:right w:val="single" w:sz="4" w:space="0" w:color="auto"/>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nil"/>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 xml:space="preserve">troca iônica; 1 x 25,0 ml de reagente lisante; 1 x 1,0 ml de padrão liofilizado; 1 x 50 unidades </w:t>
            </w:r>
          </w:p>
        </w:tc>
        <w:tc>
          <w:tcPr>
            <w:tcW w:w="1434" w:type="dxa"/>
            <w:vMerge/>
            <w:tcBorders>
              <w:top w:val="single" w:sz="4" w:space="0" w:color="auto"/>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15"/>
        </w:trPr>
        <w:tc>
          <w:tcPr>
            <w:tcW w:w="858" w:type="dxa"/>
            <w:vMerge/>
            <w:tcBorders>
              <w:top w:val="single" w:sz="4" w:space="0" w:color="auto"/>
              <w:left w:val="single" w:sz="4" w:space="0" w:color="auto"/>
              <w:bottom w:val="single" w:sz="4" w:space="0" w:color="000000"/>
              <w:right w:val="single" w:sz="4" w:space="0" w:color="auto"/>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nil"/>
              <w:bottom w:val="single" w:sz="4" w:space="0" w:color="auto"/>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de filtro separador e uma instrução de uso.</w:t>
            </w:r>
          </w:p>
        </w:tc>
        <w:tc>
          <w:tcPr>
            <w:tcW w:w="1434" w:type="dxa"/>
            <w:vMerge/>
            <w:tcBorders>
              <w:top w:val="single" w:sz="4" w:space="0" w:color="auto"/>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00"/>
        </w:trPr>
        <w:tc>
          <w:tcPr>
            <w:tcW w:w="85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nil"/>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Kit de glicose  enzimático  - conjunto para 1.000  determinações de glicose, contendo:</w:t>
            </w:r>
          </w:p>
        </w:tc>
        <w:tc>
          <w:tcPr>
            <w:tcW w:w="14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Caixa</w:t>
            </w:r>
          </w:p>
        </w:tc>
        <w:tc>
          <w:tcPr>
            <w:tcW w:w="184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48</w:t>
            </w:r>
          </w:p>
        </w:tc>
      </w:tr>
      <w:tr w:rsidR="00997A59" w:rsidRPr="00997A59" w:rsidTr="00C60AED">
        <w:trPr>
          <w:trHeight w:val="300"/>
        </w:trPr>
        <w:tc>
          <w:tcPr>
            <w:tcW w:w="858"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nil"/>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 xml:space="preserve">1) Reagente enzimático: 4 frascos com 250 ml de cada, contendo solução aquosa de </w:t>
            </w:r>
          </w:p>
        </w:tc>
        <w:tc>
          <w:tcPr>
            <w:tcW w:w="1434"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15"/>
        </w:trPr>
        <w:tc>
          <w:tcPr>
            <w:tcW w:w="858"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nil"/>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 xml:space="preserve"> tampão de pH 7,40, 4-aminoantipirina 0,8 mmol/L, fenól 11 mmol/L, glicose oxidase &gt;</w:t>
            </w:r>
          </w:p>
        </w:tc>
        <w:tc>
          <w:tcPr>
            <w:tcW w:w="1434"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15"/>
        </w:trPr>
        <w:tc>
          <w:tcPr>
            <w:tcW w:w="858"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nil"/>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 xml:space="preserve"> 16.000 U/L, peroxidase &gt; 1.000 U/L e p-hidroxibenzoato de matila 6,5 mmol/L.</w:t>
            </w:r>
          </w:p>
        </w:tc>
        <w:tc>
          <w:tcPr>
            <w:tcW w:w="1434"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15"/>
        </w:trPr>
        <w:tc>
          <w:tcPr>
            <w:tcW w:w="858"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nil"/>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Conservar entre 2 e 8 C.2) Padrão: 01 frsco com 6,0 ml contendo glicose sem mg/dl</w:t>
            </w:r>
          </w:p>
        </w:tc>
        <w:tc>
          <w:tcPr>
            <w:tcW w:w="1434"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15"/>
        </w:trPr>
        <w:tc>
          <w:tcPr>
            <w:tcW w:w="858"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nil"/>
              <w:bottom w:val="single" w:sz="4" w:space="0" w:color="auto"/>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(5,56mmol/L) em solução de ácido benzóico a 0,25% . Conservar entre 2 e 8°C.</w:t>
            </w:r>
          </w:p>
        </w:tc>
        <w:tc>
          <w:tcPr>
            <w:tcW w:w="1434"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15"/>
        </w:trPr>
        <w:tc>
          <w:tcPr>
            <w:tcW w:w="85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nil"/>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 xml:space="preserve">Kit de colesterol  enzimático  conjunto para  200 determinações de colesterol, contendo: </w:t>
            </w:r>
          </w:p>
        </w:tc>
        <w:tc>
          <w:tcPr>
            <w:tcW w:w="14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Caixa</w:t>
            </w:r>
          </w:p>
        </w:tc>
        <w:tc>
          <w:tcPr>
            <w:tcW w:w="184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48</w:t>
            </w:r>
          </w:p>
        </w:tc>
      </w:tr>
      <w:tr w:rsidR="00997A59" w:rsidRPr="00997A59" w:rsidTr="00C60AED">
        <w:trPr>
          <w:trHeight w:val="315"/>
        </w:trPr>
        <w:tc>
          <w:tcPr>
            <w:tcW w:w="858"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nil"/>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 xml:space="preserve">1) Reagente enzimático: 2 frascos com 100 ml cada, de solução aquosa contendo </w:t>
            </w:r>
          </w:p>
        </w:tc>
        <w:tc>
          <w:tcPr>
            <w:tcW w:w="1434"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15"/>
        </w:trPr>
        <w:tc>
          <w:tcPr>
            <w:tcW w:w="858"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nil"/>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tampão pH 6,90, 4-aminoantipirina 0,5 mmol/L fenól 10 mmol/L, colesterol esteratase &gt;</w:t>
            </w:r>
          </w:p>
        </w:tc>
        <w:tc>
          <w:tcPr>
            <w:tcW w:w="1434"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15"/>
        </w:trPr>
        <w:tc>
          <w:tcPr>
            <w:tcW w:w="858"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nil"/>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 xml:space="preserve">400U/L, colesterol oxidase &gt; que 300 U/L, peroxidase &gt; 1.000 U/L e azida sódica 0,1 g/dl. </w:t>
            </w:r>
          </w:p>
        </w:tc>
        <w:tc>
          <w:tcPr>
            <w:tcW w:w="1434"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15"/>
        </w:trPr>
        <w:tc>
          <w:tcPr>
            <w:tcW w:w="858"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nil"/>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Conservar entre 2 e 8°C.</w:t>
            </w:r>
          </w:p>
        </w:tc>
        <w:tc>
          <w:tcPr>
            <w:tcW w:w="1434"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15"/>
        </w:trPr>
        <w:tc>
          <w:tcPr>
            <w:tcW w:w="858"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nil"/>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2) Padrão: 01 frasco com 5,0 ml contendo colesterol 200mg/dl (5,2 mmol/L) em solu-</w:t>
            </w:r>
          </w:p>
        </w:tc>
        <w:tc>
          <w:tcPr>
            <w:tcW w:w="1434"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15"/>
        </w:trPr>
        <w:tc>
          <w:tcPr>
            <w:tcW w:w="858"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nil"/>
              <w:bottom w:val="single" w:sz="4" w:space="0" w:color="auto"/>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ção aquosa e azida sódica 0,1 g/dl. Conservar entre 2 e 8°C.</w:t>
            </w:r>
          </w:p>
        </w:tc>
        <w:tc>
          <w:tcPr>
            <w:tcW w:w="1434"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15"/>
        </w:trPr>
        <w:tc>
          <w:tcPr>
            <w:tcW w:w="858" w:type="dxa"/>
            <w:vMerge w:val="restart"/>
            <w:tcBorders>
              <w:top w:val="nil"/>
              <w:left w:val="single" w:sz="4" w:space="0" w:color="auto"/>
              <w:bottom w:val="nil"/>
              <w:right w:val="nil"/>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Kit de Albumina para 250 determinações, contendo: 1)-Reagente de Cor : 1 frasco de 50</w:t>
            </w:r>
          </w:p>
        </w:tc>
        <w:tc>
          <w:tcPr>
            <w:tcW w:w="1434" w:type="dxa"/>
            <w:vMerge w:val="restart"/>
            <w:tcBorders>
              <w:top w:val="nil"/>
              <w:left w:val="single" w:sz="4" w:space="0" w:color="auto"/>
              <w:bottom w:val="nil"/>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Caixa</w:t>
            </w:r>
          </w:p>
        </w:tc>
        <w:tc>
          <w:tcPr>
            <w:tcW w:w="1843" w:type="dxa"/>
            <w:vMerge w:val="restart"/>
            <w:tcBorders>
              <w:top w:val="nil"/>
              <w:left w:val="single" w:sz="4" w:space="0" w:color="auto"/>
              <w:bottom w:val="nil"/>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5</w:t>
            </w:r>
          </w:p>
        </w:tc>
      </w:tr>
      <w:tr w:rsidR="00997A59" w:rsidRPr="00997A59" w:rsidTr="00C60AED">
        <w:trPr>
          <w:trHeight w:val="315"/>
        </w:trPr>
        <w:tc>
          <w:tcPr>
            <w:tcW w:w="858" w:type="dxa"/>
            <w:vMerge/>
            <w:tcBorders>
              <w:top w:val="nil"/>
              <w:left w:val="single" w:sz="4" w:space="0" w:color="auto"/>
              <w:bottom w:val="nil"/>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ml de solução tamponada em pH 3,80, 10x concentrada, contendo verde de bromocresol</w:t>
            </w:r>
          </w:p>
        </w:tc>
        <w:tc>
          <w:tcPr>
            <w:tcW w:w="1434" w:type="dxa"/>
            <w:vMerge/>
            <w:tcBorders>
              <w:top w:val="nil"/>
              <w:left w:val="single" w:sz="4" w:space="0" w:color="auto"/>
              <w:bottom w:val="nil"/>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nil"/>
              <w:left w:val="single" w:sz="4" w:space="0" w:color="auto"/>
              <w:bottom w:val="nil"/>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15"/>
        </w:trPr>
        <w:tc>
          <w:tcPr>
            <w:tcW w:w="858" w:type="dxa"/>
            <w:vMerge/>
            <w:tcBorders>
              <w:top w:val="nil"/>
              <w:left w:val="single" w:sz="4" w:space="0" w:color="auto"/>
              <w:bottom w:val="nil"/>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1,7 mmol/L e azida sódica 8,5 mmol/L. 2)-Padrão: 1 frasco com 2,0 ml de solução aquosa</w:t>
            </w:r>
          </w:p>
        </w:tc>
        <w:tc>
          <w:tcPr>
            <w:tcW w:w="1434" w:type="dxa"/>
            <w:vMerge/>
            <w:tcBorders>
              <w:top w:val="nil"/>
              <w:left w:val="single" w:sz="4" w:space="0" w:color="auto"/>
              <w:bottom w:val="nil"/>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nil"/>
              <w:left w:val="single" w:sz="4" w:space="0" w:color="auto"/>
              <w:bottom w:val="nil"/>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15"/>
        </w:trPr>
        <w:tc>
          <w:tcPr>
            <w:tcW w:w="858" w:type="dxa"/>
            <w:vMerge/>
            <w:tcBorders>
              <w:top w:val="nil"/>
              <w:left w:val="single" w:sz="4" w:space="0" w:color="auto"/>
              <w:bottom w:val="nil"/>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de albunima bovina 3,8 g/dL, contendo azida sódica 8,5 mmol/L.</w:t>
            </w:r>
          </w:p>
        </w:tc>
        <w:tc>
          <w:tcPr>
            <w:tcW w:w="1434" w:type="dxa"/>
            <w:vMerge/>
            <w:tcBorders>
              <w:top w:val="nil"/>
              <w:left w:val="single" w:sz="4" w:space="0" w:color="auto"/>
              <w:bottom w:val="single" w:sz="4" w:space="0" w:color="auto"/>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nil"/>
              <w:left w:val="single" w:sz="4" w:space="0" w:color="auto"/>
              <w:bottom w:val="single" w:sz="4" w:space="0" w:color="auto"/>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15"/>
        </w:trPr>
        <w:tc>
          <w:tcPr>
            <w:tcW w:w="858" w:type="dxa"/>
            <w:vMerge w:val="restart"/>
            <w:tcBorders>
              <w:top w:val="nil"/>
              <w:left w:val="single" w:sz="4" w:space="0" w:color="auto"/>
              <w:bottom w:val="single" w:sz="4" w:space="0" w:color="000000"/>
              <w:right w:val="nil"/>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Kit de triglicérides  enzimático conjunto para 200 determinações dos triglicérides</w:t>
            </w:r>
          </w:p>
        </w:tc>
        <w:tc>
          <w:tcPr>
            <w:tcW w:w="1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Caixa</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48</w:t>
            </w:r>
          </w:p>
        </w:tc>
      </w:tr>
      <w:tr w:rsidR="00997A59" w:rsidRPr="00997A59" w:rsidTr="00C60AED">
        <w:trPr>
          <w:trHeight w:val="315"/>
        </w:trPr>
        <w:tc>
          <w:tcPr>
            <w:tcW w:w="858" w:type="dxa"/>
            <w:vMerge/>
            <w:tcBorders>
              <w:top w:val="nil"/>
              <w:left w:val="single" w:sz="4" w:space="0" w:color="auto"/>
              <w:bottom w:val="single" w:sz="4" w:space="0" w:color="000000"/>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 xml:space="preserve">contendo : 1) Tampão: 2 frascos com 90 ml cada, de solução aquosa contendo tampão </w:t>
            </w: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15"/>
        </w:trPr>
        <w:tc>
          <w:tcPr>
            <w:tcW w:w="858" w:type="dxa"/>
            <w:vMerge/>
            <w:tcBorders>
              <w:top w:val="nil"/>
              <w:left w:val="single" w:sz="4" w:space="0" w:color="auto"/>
              <w:bottom w:val="single" w:sz="4" w:space="0" w:color="000000"/>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pH 7,50, p-clorofenol 5mmol/L e azida sódica 0,1 g/dl.</w:t>
            </w: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15"/>
        </w:trPr>
        <w:tc>
          <w:tcPr>
            <w:tcW w:w="858" w:type="dxa"/>
            <w:vMerge/>
            <w:tcBorders>
              <w:top w:val="nil"/>
              <w:left w:val="single" w:sz="4" w:space="0" w:color="auto"/>
              <w:bottom w:val="single" w:sz="4" w:space="0" w:color="000000"/>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 xml:space="preserve">Conservar entre 2 e 8°C. </w:t>
            </w: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15"/>
        </w:trPr>
        <w:tc>
          <w:tcPr>
            <w:tcW w:w="858" w:type="dxa"/>
            <w:vMerge/>
            <w:tcBorders>
              <w:top w:val="nil"/>
              <w:left w:val="single" w:sz="4" w:space="0" w:color="auto"/>
              <w:bottom w:val="single" w:sz="4" w:space="0" w:color="000000"/>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 xml:space="preserve"> 2) Enzimas: 2 frascos com 10 ml cada, solução aquosa 10x concentrada, contendo</w:t>
            </w: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15"/>
        </w:trPr>
        <w:tc>
          <w:tcPr>
            <w:tcW w:w="858" w:type="dxa"/>
            <w:vMerge/>
            <w:tcBorders>
              <w:top w:val="nil"/>
              <w:left w:val="single" w:sz="4" w:space="0" w:color="auto"/>
              <w:bottom w:val="single" w:sz="4" w:space="0" w:color="000000"/>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 xml:space="preserve"> tampão pH 7,50, lipase lipoproteíca &gt; 200.000U/L, glicerol 3-fosfato oxidase &gt; 30.000U/L</w:t>
            </w: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15"/>
        </w:trPr>
        <w:tc>
          <w:tcPr>
            <w:tcW w:w="858" w:type="dxa"/>
            <w:vMerge/>
            <w:tcBorders>
              <w:top w:val="nil"/>
              <w:left w:val="single" w:sz="4" w:space="0" w:color="auto"/>
              <w:bottom w:val="single" w:sz="4" w:space="0" w:color="000000"/>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glicerol quinase &gt; 8.000 U/L, peroxidase &gt; 10.000U/L, 4-aminoantipirina 5 mmol/L, ATP</w:t>
            </w: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15"/>
        </w:trPr>
        <w:tc>
          <w:tcPr>
            <w:tcW w:w="858" w:type="dxa"/>
            <w:vMerge/>
            <w:tcBorders>
              <w:top w:val="nil"/>
              <w:left w:val="single" w:sz="4" w:space="0" w:color="auto"/>
              <w:bottom w:val="single" w:sz="4" w:space="0" w:color="000000"/>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3 mmol/L, cloreto de magnésio 5 mmol/L e azida sódica 0,1 g/dl. Conservar entre 2 e 8°C.</w:t>
            </w: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15"/>
        </w:trPr>
        <w:tc>
          <w:tcPr>
            <w:tcW w:w="858" w:type="dxa"/>
            <w:vMerge/>
            <w:tcBorders>
              <w:top w:val="nil"/>
              <w:left w:val="single" w:sz="4" w:space="0" w:color="auto"/>
              <w:bottom w:val="single" w:sz="4" w:space="0" w:color="000000"/>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 xml:space="preserve">3) Padrão: 1 frasco com 5,0 ml de padrão, contém glicerol 2,26mmol/L, equivalente a </w:t>
            </w: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15"/>
        </w:trPr>
        <w:tc>
          <w:tcPr>
            <w:tcW w:w="858" w:type="dxa"/>
            <w:vMerge/>
            <w:tcBorders>
              <w:top w:val="nil"/>
              <w:left w:val="single" w:sz="4" w:space="0" w:color="auto"/>
              <w:bottom w:val="single" w:sz="4" w:space="0" w:color="000000"/>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 xml:space="preserve">200 mg/dl em triglicerides, em solução aquosa e azida sódica 0,1 g/dl. </w:t>
            </w: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15"/>
        </w:trPr>
        <w:tc>
          <w:tcPr>
            <w:tcW w:w="858" w:type="dxa"/>
            <w:vMerge/>
            <w:tcBorders>
              <w:top w:val="nil"/>
              <w:left w:val="single" w:sz="4" w:space="0" w:color="auto"/>
              <w:bottom w:val="single" w:sz="4" w:space="0" w:color="000000"/>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Conservar entre 2 e 8°C.</w:t>
            </w: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15"/>
        </w:trPr>
        <w:tc>
          <w:tcPr>
            <w:tcW w:w="858" w:type="dxa"/>
            <w:vMerge w:val="restart"/>
            <w:tcBorders>
              <w:top w:val="nil"/>
              <w:left w:val="single" w:sz="4" w:space="0" w:color="auto"/>
              <w:bottom w:val="single" w:sz="4" w:space="0" w:color="000000"/>
              <w:right w:val="nil"/>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Kit de ácido úrico enzimático conjunto para 200 determinações de ácido úrico, contendo:</w:t>
            </w:r>
          </w:p>
        </w:tc>
        <w:tc>
          <w:tcPr>
            <w:tcW w:w="14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Caixa</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20</w:t>
            </w:r>
          </w:p>
        </w:tc>
      </w:tr>
      <w:tr w:rsidR="00997A59" w:rsidRPr="00997A59" w:rsidTr="00C60AED">
        <w:trPr>
          <w:trHeight w:val="315"/>
        </w:trPr>
        <w:tc>
          <w:tcPr>
            <w:tcW w:w="858" w:type="dxa"/>
            <w:vMerge/>
            <w:tcBorders>
              <w:top w:val="nil"/>
              <w:left w:val="single" w:sz="4" w:space="0" w:color="auto"/>
              <w:bottom w:val="single" w:sz="4" w:space="0" w:color="000000"/>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1) Reagente Enzimático: 2 frascos com 100 ml cada, solução aquosa contendo tampão</w:t>
            </w:r>
          </w:p>
        </w:tc>
        <w:tc>
          <w:tcPr>
            <w:tcW w:w="1434"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15"/>
        </w:trPr>
        <w:tc>
          <w:tcPr>
            <w:tcW w:w="858" w:type="dxa"/>
            <w:vMerge/>
            <w:tcBorders>
              <w:top w:val="nil"/>
              <w:left w:val="single" w:sz="4" w:space="0" w:color="auto"/>
              <w:bottom w:val="single" w:sz="4" w:space="0" w:color="000000"/>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 xml:space="preserve">pH 7,20, Uricase &gt; 120U/L, peroxidase &gt;100U/L, 4- aminoantipirina 1,0mmol/L, TOOS </w:t>
            </w:r>
          </w:p>
        </w:tc>
        <w:tc>
          <w:tcPr>
            <w:tcW w:w="1434"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15"/>
        </w:trPr>
        <w:tc>
          <w:tcPr>
            <w:tcW w:w="858" w:type="dxa"/>
            <w:vMerge/>
            <w:tcBorders>
              <w:top w:val="nil"/>
              <w:left w:val="single" w:sz="4" w:space="0" w:color="auto"/>
              <w:bottom w:val="single" w:sz="4" w:space="0" w:color="000000"/>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0,60 mmol/L e azida sódica 0,1g/dl.</w:t>
            </w:r>
          </w:p>
        </w:tc>
        <w:tc>
          <w:tcPr>
            <w:tcW w:w="1434"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15"/>
        </w:trPr>
        <w:tc>
          <w:tcPr>
            <w:tcW w:w="858" w:type="dxa"/>
            <w:vMerge/>
            <w:tcBorders>
              <w:top w:val="nil"/>
              <w:left w:val="single" w:sz="4" w:space="0" w:color="auto"/>
              <w:bottom w:val="single" w:sz="4" w:space="0" w:color="000000"/>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Conservar entre 2 e 8 °C.</w:t>
            </w:r>
          </w:p>
        </w:tc>
        <w:tc>
          <w:tcPr>
            <w:tcW w:w="1434"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15"/>
        </w:trPr>
        <w:tc>
          <w:tcPr>
            <w:tcW w:w="858" w:type="dxa"/>
            <w:vMerge/>
            <w:tcBorders>
              <w:top w:val="nil"/>
              <w:left w:val="single" w:sz="4" w:space="0" w:color="auto"/>
              <w:bottom w:val="single" w:sz="4" w:space="0" w:color="000000"/>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 xml:space="preserve">2) Padrão: 1 frasco com 5,0 ml, contendo ácido úrico 8 md/dl (0,476 mmol/L) em </w:t>
            </w:r>
          </w:p>
        </w:tc>
        <w:tc>
          <w:tcPr>
            <w:tcW w:w="1434"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15"/>
        </w:trPr>
        <w:tc>
          <w:tcPr>
            <w:tcW w:w="858" w:type="dxa"/>
            <w:vMerge/>
            <w:tcBorders>
              <w:top w:val="nil"/>
              <w:left w:val="single" w:sz="4" w:space="0" w:color="auto"/>
              <w:bottom w:val="single" w:sz="4" w:space="0" w:color="000000"/>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single" w:sz="4" w:space="0" w:color="auto"/>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solução aquosa e azida sódica 0,1 g/dl. Conservar entre 2 e 8°C.</w:t>
            </w:r>
          </w:p>
        </w:tc>
        <w:tc>
          <w:tcPr>
            <w:tcW w:w="1434"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C60AED" w:rsidRPr="00997A59" w:rsidTr="00C60AED">
        <w:trPr>
          <w:trHeight w:val="315"/>
        </w:trPr>
        <w:tc>
          <w:tcPr>
            <w:tcW w:w="858" w:type="dxa"/>
            <w:vMerge w:val="restart"/>
            <w:tcBorders>
              <w:top w:val="nil"/>
              <w:left w:val="single" w:sz="4" w:space="0" w:color="auto"/>
              <w:bottom w:val="single" w:sz="4" w:space="0" w:color="000000"/>
              <w:right w:val="nil"/>
            </w:tcBorders>
            <w:shd w:val="clear" w:color="auto" w:fill="auto"/>
            <w:noWrap/>
            <w:vAlign w:val="center"/>
            <w:hideMark/>
          </w:tcPr>
          <w:p w:rsidR="00C60AED" w:rsidRPr="00C60AED" w:rsidRDefault="00C60AED"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Kit de uréia  conjunto para derminações de uréia, contendo:</w:t>
            </w:r>
          </w:p>
        </w:tc>
        <w:tc>
          <w:tcPr>
            <w:tcW w:w="1434" w:type="dxa"/>
            <w:vMerge w:val="restart"/>
            <w:tcBorders>
              <w:top w:val="nil"/>
              <w:left w:val="single" w:sz="4" w:space="0" w:color="auto"/>
              <w:right w:val="single" w:sz="4" w:space="0" w:color="auto"/>
            </w:tcBorders>
            <w:shd w:val="clear" w:color="auto" w:fill="auto"/>
            <w:noWrap/>
            <w:vAlign w:val="center"/>
            <w:hideMark/>
          </w:tcPr>
          <w:p w:rsidR="00C60AED" w:rsidRPr="00C60AED" w:rsidRDefault="00C60AED" w:rsidP="00997A59">
            <w:pPr>
              <w:jc w:val="center"/>
              <w:rPr>
                <w:rFonts w:ascii="Century Gothic" w:hAnsi="Century Gothic" w:cs="Arial"/>
                <w:sz w:val="24"/>
                <w:szCs w:val="24"/>
              </w:rPr>
            </w:pPr>
            <w:r w:rsidRPr="00C60AED">
              <w:rPr>
                <w:rFonts w:ascii="Century Gothic" w:hAnsi="Century Gothic" w:cs="Arial"/>
                <w:sz w:val="24"/>
                <w:szCs w:val="24"/>
              </w:rPr>
              <w:t>Caixa</w:t>
            </w:r>
          </w:p>
        </w:tc>
        <w:tc>
          <w:tcPr>
            <w:tcW w:w="1843" w:type="dxa"/>
            <w:vMerge w:val="restart"/>
            <w:tcBorders>
              <w:top w:val="nil"/>
              <w:left w:val="single" w:sz="4" w:space="0" w:color="auto"/>
              <w:right w:val="single" w:sz="4" w:space="0" w:color="auto"/>
            </w:tcBorders>
            <w:shd w:val="clear" w:color="auto" w:fill="auto"/>
            <w:noWrap/>
            <w:vAlign w:val="center"/>
            <w:hideMark/>
          </w:tcPr>
          <w:p w:rsidR="00C60AED" w:rsidRPr="00C60AED" w:rsidRDefault="00C60AED" w:rsidP="00997A59">
            <w:pPr>
              <w:jc w:val="center"/>
              <w:rPr>
                <w:rFonts w:ascii="Century Gothic" w:hAnsi="Century Gothic" w:cs="Arial"/>
                <w:sz w:val="24"/>
                <w:szCs w:val="24"/>
              </w:rPr>
            </w:pPr>
            <w:r w:rsidRPr="00C60AED">
              <w:rPr>
                <w:rFonts w:ascii="Century Gothic" w:hAnsi="Century Gothic" w:cs="Arial"/>
                <w:sz w:val="24"/>
                <w:szCs w:val="24"/>
              </w:rPr>
              <w:t>20</w:t>
            </w:r>
          </w:p>
        </w:tc>
      </w:tr>
      <w:tr w:rsidR="00C60AED" w:rsidRPr="00997A59" w:rsidTr="00C60AED">
        <w:trPr>
          <w:trHeight w:val="315"/>
        </w:trPr>
        <w:tc>
          <w:tcPr>
            <w:tcW w:w="858" w:type="dxa"/>
            <w:vMerge/>
            <w:tcBorders>
              <w:top w:val="nil"/>
              <w:left w:val="single" w:sz="4" w:space="0" w:color="auto"/>
              <w:bottom w:val="single" w:sz="4" w:space="0" w:color="000000"/>
              <w:right w:val="nil"/>
            </w:tcBorders>
            <w:vAlign w:val="center"/>
            <w:hideMark/>
          </w:tcPr>
          <w:p w:rsidR="00C60AED" w:rsidRPr="00C60AED" w:rsidRDefault="00C60AED"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1) Tampão: 3 frascos com 50 ml cada, de solução tamponada em pH 7,80, contendo</w:t>
            </w:r>
          </w:p>
        </w:tc>
        <w:tc>
          <w:tcPr>
            <w:tcW w:w="1434" w:type="dxa"/>
            <w:vMerge/>
            <w:tcBorders>
              <w:left w:val="single" w:sz="4" w:space="0" w:color="auto"/>
              <w:right w:val="single" w:sz="4" w:space="0" w:color="auto"/>
            </w:tcBorders>
            <w:vAlign w:val="center"/>
            <w:hideMark/>
          </w:tcPr>
          <w:p w:rsidR="00C60AED" w:rsidRPr="00C60AED" w:rsidRDefault="00C60AED" w:rsidP="00997A59">
            <w:pPr>
              <w:rPr>
                <w:rFonts w:ascii="Century Gothic" w:hAnsi="Century Gothic" w:cs="Arial"/>
                <w:sz w:val="24"/>
                <w:szCs w:val="24"/>
              </w:rPr>
            </w:pPr>
          </w:p>
        </w:tc>
        <w:tc>
          <w:tcPr>
            <w:tcW w:w="1843" w:type="dxa"/>
            <w:vMerge/>
            <w:tcBorders>
              <w:left w:val="single" w:sz="4" w:space="0" w:color="auto"/>
              <w:right w:val="single" w:sz="4" w:space="0" w:color="auto"/>
            </w:tcBorders>
            <w:vAlign w:val="center"/>
            <w:hideMark/>
          </w:tcPr>
          <w:p w:rsidR="00C60AED" w:rsidRPr="00C60AED" w:rsidRDefault="00C60AED" w:rsidP="00997A59">
            <w:pPr>
              <w:rPr>
                <w:rFonts w:ascii="Century Gothic" w:hAnsi="Century Gothic" w:cs="Arial"/>
                <w:sz w:val="24"/>
                <w:szCs w:val="24"/>
              </w:rPr>
            </w:pPr>
          </w:p>
        </w:tc>
      </w:tr>
      <w:tr w:rsidR="00C60AED" w:rsidRPr="00997A59" w:rsidTr="00C60AED">
        <w:trPr>
          <w:trHeight w:val="315"/>
        </w:trPr>
        <w:tc>
          <w:tcPr>
            <w:tcW w:w="858" w:type="dxa"/>
            <w:vMerge/>
            <w:tcBorders>
              <w:top w:val="nil"/>
              <w:left w:val="single" w:sz="4" w:space="0" w:color="auto"/>
              <w:bottom w:val="single" w:sz="4" w:space="0" w:color="000000"/>
              <w:right w:val="nil"/>
            </w:tcBorders>
            <w:vAlign w:val="center"/>
            <w:hideMark/>
          </w:tcPr>
          <w:p w:rsidR="00C60AED" w:rsidRPr="00C60AED" w:rsidRDefault="00C60AED"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a-cetoglutarato 10 mmol/L e azida sódica 15,5 mmol/L.</w:t>
            </w:r>
          </w:p>
        </w:tc>
        <w:tc>
          <w:tcPr>
            <w:tcW w:w="1434" w:type="dxa"/>
            <w:vMerge/>
            <w:tcBorders>
              <w:left w:val="single" w:sz="4" w:space="0" w:color="auto"/>
              <w:right w:val="single" w:sz="4" w:space="0" w:color="auto"/>
            </w:tcBorders>
            <w:vAlign w:val="center"/>
            <w:hideMark/>
          </w:tcPr>
          <w:p w:rsidR="00C60AED" w:rsidRPr="00C60AED" w:rsidRDefault="00C60AED" w:rsidP="00997A59">
            <w:pPr>
              <w:rPr>
                <w:rFonts w:ascii="Century Gothic" w:hAnsi="Century Gothic" w:cs="Arial"/>
                <w:sz w:val="24"/>
                <w:szCs w:val="24"/>
              </w:rPr>
            </w:pPr>
          </w:p>
        </w:tc>
        <w:tc>
          <w:tcPr>
            <w:tcW w:w="1843" w:type="dxa"/>
            <w:vMerge/>
            <w:tcBorders>
              <w:left w:val="single" w:sz="4" w:space="0" w:color="auto"/>
              <w:right w:val="single" w:sz="4" w:space="0" w:color="auto"/>
            </w:tcBorders>
            <w:vAlign w:val="center"/>
            <w:hideMark/>
          </w:tcPr>
          <w:p w:rsidR="00C60AED" w:rsidRPr="00C60AED" w:rsidRDefault="00C60AED" w:rsidP="00997A59">
            <w:pPr>
              <w:rPr>
                <w:rFonts w:ascii="Century Gothic" w:hAnsi="Century Gothic" w:cs="Arial"/>
                <w:sz w:val="24"/>
                <w:szCs w:val="24"/>
              </w:rPr>
            </w:pPr>
          </w:p>
        </w:tc>
      </w:tr>
      <w:tr w:rsidR="00C60AED" w:rsidRPr="00997A59" w:rsidTr="00C60AED">
        <w:trPr>
          <w:trHeight w:val="315"/>
        </w:trPr>
        <w:tc>
          <w:tcPr>
            <w:tcW w:w="858" w:type="dxa"/>
            <w:vMerge/>
            <w:tcBorders>
              <w:top w:val="nil"/>
              <w:left w:val="single" w:sz="4" w:space="0" w:color="auto"/>
              <w:bottom w:val="single" w:sz="4" w:space="0" w:color="000000"/>
              <w:right w:val="nil"/>
            </w:tcBorders>
            <w:vAlign w:val="center"/>
            <w:hideMark/>
          </w:tcPr>
          <w:p w:rsidR="00C60AED" w:rsidRPr="00C60AED" w:rsidRDefault="00C60AED"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2) Enzimas: 1 frasco com 1,5ml de solução tamponada em pH7,00, 100x concentrada,</w:t>
            </w:r>
          </w:p>
        </w:tc>
        <w:tc>
          <w:tcPr>
            <w:tcW w:w="1434" w:type="dxa"/>
            <w:vMerge/>
            <w:tcBorders>
              <w:left w:val="single" w:sz="4" w:space="0" w:color="auto"/>
              <w:right w:val="single" w:sz="4" w:space="0" w:color="auto"/>
            </w:tcBorders>
            <w:vAlign w:val="center"/>
            <w:hideMark/>
          </w:tcPr>
          <w:p w:rsidR="00C60AED" w:rsidRPr="00C60AED" w:rsidRDefault="00C60AED" w:rsidP="00997A59">
            <w:pPr>
              <w:rPr>
                <w:rFonts w:ascii="Century Gothic" w:hAnsi="Century Gothic" w:cs="Arial"/>
                <w:sz w:val="24"/>
                <w:szCs w:val="24"/>
              </w:rPr>
            </w:pPr>
          </w:p>
        </w:tc>
        <w:tc>
          <w:tcPr>
            <w:tcW w:w="1843" w:type="dxa"/>
            <w:vMerge/>
            <w:tcBorders>
              <w:left w:val="single" w:sz="4" w:space="0" w:color="auto"/>
              <w:right w:val="single" w:sz="4" w:space="0" w:color="auto"/>
            </w:tcBorders>
            <w:vAlign w:val="center"/>
            <w:hideMark/>
          </w:tcPr>
          <w:p w:rsidR="00C60AED" w:rsidRPr="00C60AED" w:rsidRDefault="00C60AED" w:rsidP="00997A59">
            <w:pPr>
              <w:rPr>
                <w:rFonts w:ascii="Century Gothic" w:hAnsi="Century Gothic" w:cs="Arial"/>
                <w:sz w:val="24"/>
                <w:szCs w:val="24"/>
              </w:rPr>
            </w:pPr>
          </w:p>
        </w:tc>
      </w:tr>
      <w:tr w:rsidR="00C60AED" w:rsidRPr="00997A59" w:rsidTr="00C60AED">
        <w:trPr>
          <w:trHeight w:val="315"/>
        </w:trPr>
        <w:tc>
          <w:tcPr>
            <w:tcW w:w="858" w:type="dxa"/>
            <w:vMerge/>
            <w:tcBorders>
              <w:top w:val="nil"/>
              <w:left w:val="single" w:sz="4" w:space="0" w:color="auto"/>
              <w:bottom w:val="single" w:sz="4" w:space="0" w:color="000000"/>
              <w:right w:val="nil"/>
            </w:tcBorders>
            <w:vAlign w:val="center"/>
            <w:hideMark/>
          </w:tcPr>
          <w:p w:rsidR="00C60AED" w:rsidRPr="00C60AED" w:rsidRDefault="00C60AED"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contendo urease &gt; 500 KU/L, desidrogenase glutâmica &gt;150KU/L e azida sódica</w:t>
            </w:r>
          </w:p>
        </w:tc>
        <w:tc>
          <w:tcPr>
            <w:tcW w:w="1434" w:type="dxa"/>
            <w:vMerge/>
            <w:tcBorders>
              <w:left w:val="single" w:sz="4" w:space="0" w:color="auto"/>
              <w:right w:val="single" w:sz="4" w:space="0" w:color="auto"/>
            </w:tcBorders>
            <w:vAlign w:val="center"/>
            <w:hideMark/>
          </w:tcPr>
          <w:p w:rsidR="00C60AED" w:rsidRPr="00C60AED" w:rsidRDefault="00C60AED" w:rsidP="00997A59">
            <w:pPr>
              <w:rPr>
                <w:rFonts w:ascii="Century Gothic" w:hAnsi="Century Gothic" w:cs="Arial"/>
                <w:sz w:val="24"/>
                <w:szCs w:val="24"/>
              </w:rPr>
            </w:pPr>
          </w:p>
        </w:tc>
        <w:tc>
          <w:tcPr>
            <w:tcW w:w="1843" w:type="dxa"/>
            <w:vMerge/>
            <w:tcBorders>
              <w:left w:val="single" w:sz="4" w:space="0" w:color="auto"/>
              <w:right w:val="single" w:sz="4" w:space="0" w:color="auto"/>
            </w:tcBorders>
            <w:vAlign w:val="center"/>
            <w:hideMark/>
          </w:tcPr>
          <w:p w:rsidR="00C60AED" w:rsidRPr="00C60AED" w:rsidRDefault="00C60AED" w:rsidP="00997A59">
            <w:pPr>
              <w:rPr>
                <w:rFonts w:ascii="Century Gothic" w:hAnsi="Century Gothic" w:cs="Arial"/>
                <w:sz w:val="24"/>
                <w:szCs w:val="24"/>
              </w:rPr>
            </w:pPr>
          </w:p>
        </w:tc>
      </w:tr>
      <w:tr w:rsidR="00C60AED" w:rsidRPr="00997A59" w:rsidTr="00C60AED">
        <w:trPr>
          <w:trHeight w:val="315"/>
        </w:trPr>
        <w:tc>
          <w:tcPr>
            <w:tcW w:w="858" w:type="dxa"/>
            <w:vMerge/>
            <w:tcBorders>
              <w:top w:val="nil"/>
              <w:left w:val="single" w:sz="4" w:space="0" w:color="auto"/>
              <w:bottom w:val="single" w:sz="4" w:space="0" w:color="000000"/>
              <w:right w:val="nil"/>
            </w:tcBorders>
            <w:vAlign w:val="center"/>
            <w:hideMark/>
          </w:tcPr>
          <w:p w:rsidR="00C60AED" w:rsidRPr="00C60AED" w:rsidRDefault="00C60AED"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23mmol/L.</w:t>
            </w:r>
          </w:p>
        </w:tc>
        <w:tc>
          <w:tcPr>
            <w:tcW w:w="1434" w:type="dxa"/>
            <w:vMerge/>
            <w:tcBorders>
              <w:left w:val="single" w:sz="4" w:space="0" w:color="auto"/>
              <w:right w:val="single" w:sz="4" w:space="0" w:color="auto"/>
            </w:tcBorders>
            <w:vAlign w:val="center"/>
            <w:hideMark/>
          </w:tcPr>
          <w:p w:rsidR="00C60AED" w:rsidRPr="00C60AED" w:rsidRDefault="00C60AED" w:rsidP="00997A59">
            <w:pPr>
              <w:rPr>
                <w:rFonts w:ascii="Century Gothic" w:hAnsi="Century Gothic" w:cs="Arial"/>
                <w:sz w:val="24"/>
                <w:szCs w:val="24"/>
              </w:rPr>
            </w:pPr>
          </w:p>
        </w:tc>
        <w:tc>
          <w:tcPr>
            <w:tcW w:w="1843" w:type="dxa"/>
            <w:vMerge/>
            <w:tcBorders>
              <w:left w:val="single" w:sz="4" w:space="0" w:color="auto"/>
              <w:right w:val="single" w:sz="4" w:space="0" w:color="auto"/>
            </w:tcBorders>
            <w:vAlign w:val="center"/>
            <w:hideMark/>
          </w:tcPr>
          <w:p w:rsidR="00C60AED" w:rsidRPr="00C60AED" w:rsidRDefault="00C60AED" w:rsidP="00997A59">
            <w:pPr>
              <w:rPr>
                <w:rFonts w:ascii="Century Gothic" w:hAnsi="Century Gothic" w:cs="Arial"/>
                <w:sz w:val="24"/>
                <w:szCs w:val="24"/>
              </w:rPr>
            </w:pPr>
          </w:p>
        </w:tc>
      </w:tr>
      <w:tr w:rsidR="00C60AED" w:rsidRPr="00997A59" w:rsidTr="00C60AED">
        <w:trPr>
          <w:trHeight w:val="315"/>
        </w:trPr>
        <w:tc>
          <w:tcPr>
            <w:tcW w:w="858" w:type="dxa"/>
            <w:vMerge/>
            <w:tcBorders>
              <w:top w:val="nil"/>
              <w:left w:val="single" w:sz="4" w:space="0" w:color="auto"/>
              <w:bottom w:val="single" w:sz="4" w:space="0" w:color="000000"/>
              <w:right w:val="nil"/>
            </w:tcBorders>
            <w:vAlign w:val="center"/>
            <w:hideMark/>
          </w:tcPr>
          <w:p w:rsidR="00C60AED" w:rsidRPr="00C60AED" w:rsidRDefault="00C60AED"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single" w:sz="4" w:space="0" w:color="auto"/>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 </w:t>
            </w:r>
          </w:p>
        </w:tc>
        <w:tc>
          <w:tcPr>
            <w:tcW w:w="1434" w:type="dxa"/>
            <w:vMerge/>
            <w:tcBorders>
              <w:left w:val="single" w:sz="4" w:space="0" w:color="auto"/>
              <w:right w:val="single" w:sz="4" w:space="0" w:color="auto"/>
            </w:tcBorders>
            <w:shd w:val="clear" w:color="auto" w:fill="auto"/>
            <w:noWrap/>
            <w:vAlign w:val="center"/>
            <w:hideMark/>
          </w:tcPr>
          <w:p w:rsidR="00C60AED" w:rsidRPr="00C60AED" w:rsidRDefault="00C60AED" w:rsidP="00997A59">
            <w:pPr>
              <w:rPr>
                <w:rFonts w:ascii="Century Gothic" w:hAnsi="Century Gothic" w:cs="Arial"/>
                <w:sz w:val="24"/>
                <w:szCs w:val="24"/>
              </w:rPr>
            </w:pPr>
          </w:p>
        </w:tc>
        <w:tc>
          <w:tcPr>
            <w:tcW w:w="1843" w:type="dxa"/>
            <w:vMerge/>
            <w:tcBorders>
              <w:left w:val="single" w:sz="4" w:space="0" w:color="auto"/>
              <w:right w:val="single" w:sz="4" w:space="0" w:color="auto"/>
            </w:tcBorders>
            <w:shd w:val="clear" w:color="auto" w:fill="auto"/>
            <w:noWrap/>
            <w:vAlign w:val="center"/>
            <w:hideMark/>
          </w:tcPr>
          <w:p w:rsidR="00C60AED" w:rsidRPr="00C60AED" w:rsidRDefault="00C60AED" w:rsidP="00997A59">
            <w:pPr>
              <w:rPr>
                <w:rFonts w:ascii="Century Gothic" w:hAnsi="Century Gothic" w:cs="Arial"/>
                <w:sz w:val="24"/>
                <w:szCs w:val="24"/>
              </w:rPr>
            </w:pPr>
          </w:p>
        </w:tc>
      </w:tr>
      <w:tr w:rsidR="00C60AED" w:rsidRPr="00997A59" w:rsidTr="00C60AED">
        <w:trPr>
          <w:trHeight w:val="315"/>
        </w:trPr>
        <w:tc>
          <w:tcPr>
            <w:tcW w:w="858" w:type="dxa"/>
            <w:vMerge/>
            <w:tcBorders>
              <w:top w:val="nil"/>
              <w:left w:val="single" w:sz="4" w:space="0" w:color="auto"/>
              <w:bottom w:val="single" w:sz="4" w:space="0" w:color="000000"/>
              <w:right w:val="nil"/>
            </w:tcBorders>
            <w:vAlign w:val="center"/>
            <w:hideMark/>
          </w:tcPr>
          <w:p w:rsidR="00C60AED" w:rsidRPr="00C60AED" w:rsidRDefault="00C60AED"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3) Coenzima: 1 frasco contendo NADH2 em forma liofilizada na concentração de 25</w:t>
            </w:r>
          </w:p>
        </w:tc>
        <w:tc>
          <w:tcPr>
            <w:tcW w:w="1434" w:type="dxa"/>
            <w:vMerge/>
            <w:tcBorders>
              <w:left w:val="single" w:sz="4" w:space="0" w:color="auto"/>
              <w:right w:val="single" w:sz="4" w:space="0" w:color="auto"/>
            </w:tcBorders>
            <w:vAlign w:val="center"/>
            <w:hideMark/>
          </w:tcPr>
          <w:p w:rsidR="00C60AED" w:rsidRPr="00C60AED" w:rsidRDefault="00C60AED" w:rsidP="00997A59">
            <w:pPr>
              <w:rPr>
                <w:rFonts w:ascii="Century Gothic" w:hAnsi="Century Gothic" w:cs="Arial"/>
                <w:sz w:val="24"/>
                <w:szCs w:val="24"/>
              </w:rPr>
            </w:pPr>
          </w:p>
        </w:tc>
        <w:tc>
          <w:tcPr>
            <w:tcW w:w="1843" w:type="dxa"/>
            <w:vMerge/>
            <w:tcBorders>
              <w:left w:val="single" w:sz="4" w:space="0" w:color="auto"/>
              <w:right w:val="single" w:sz="4" w:space="0" w:color="auto"/>
            </w:tcBorders>
            <w:vAlign w:val="center"/>
            <w:hideMark/>
          </w:tcPr>
          <w:p w:rsidR="00C60AED" w:rsidRPr="00C60AED" w:rsidRDefault="00C60AED" w:rsidP="00997A59">
            <w:pPr>
              <w:rPr>
                <w:rFonts w:ascii="Century Gothic" w:hAnsi="Century Gothic" w:cs="Arial"/>
                <w:sz w:val="24"/>
                <w:szCs w:val="24"/>
              </w:rPr>
            </w:pPr>
          </w:p>
        </w:tc>
      </w:tr>
      <w:tr w:rsidR="00C60AED" w:rsidRPr="00997A59" w:rsidTr="00C60AED">
        <w:trPr>
          <w:trHeight w:val="315"/>
        </w:trPr>
        <w:tc>
          <w:tcPr>
            <w:tcW w:w="858" w:type="dxa"/>
            <w:vMerge/>
            <w:tcBorders>
              <w:top w:val="nil"/>
              <w:left w:val="single" w:sz="4" w:space="0" w:color="auto"/>
              <w:bottom w:val="single" w:sz="4" w:space="0" w:color="000000"/>
              <w:right w:val="nil"/>
            </w:tcBorders>
            <w:vAlign w:val="center"/>
            <w:hideMark/>
          </w:tcPr>
          <w:p w:rsidR="00C60AED" w:rsidRPr="00C60AED" w:rsidRDefault="00C60AED"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mmol/L após reconstituição.</w:t>
            </w:r>
          </w:p>
        </w:tc>
        <w:tc>
          <w:tcPr>
            <w:tcW w:w="1434" w:type="dxa"/>
            <w:vMerge/>
            <w:tcBorders>
              <w:left w:val="single" w:sz="4" w:space="0" w:color="auto"/>
              <w:right w:val="single" w:sz="4" w:space="0" w:color="auto"/>
            </w:tcBorders>
            <w:vAlign w:val="center"/>
            <w:hideMark/>
          </w:tcPr>
          <w:p w:rsidR="00C60AED" w:rsidRPr="00C60AED" w:rsidRDefault="00C60AED" w:rsidP="00997A59">
            <w:pPr>
              <w:rPr>
                <w:rFonts w:ascii="Century Gothic" w:hAnsi="Century Gothic" w:cs="Arial"/>
                <w:sz w:val="24"/>
                <w:szCs w:val="24"/>
              </w:rPr>
            </w:pPr>
          </w:p>
        </w:tc>
        <w:tc>
          <w:tcPr>
            <w:tcW w:w="1843" w:type="dxa"/>
            <w:vMerge/>
            <w:tcBorders>
              <w:left w:val="single" w:sz="4" w:space="0" w:color="auto"/>
              <w:right w:val="single" w:sz="4" w:space="0" w:color="auto"/>
            </w:tcBorders>
            <w:vAlign w:val="center"/>
            <w:hideMark/>
          </w:tcPr>
          <w:p w:rsidR="00C60AED" w:rsidRPr="00C60AED" w:rsidRDefault="00C60AED" w:rsidP="00997A59">
            <w:pPr>
              <w:rPr>
                <w:rFonts w:ascii="Century Gothic" w:hAnsi="Century Gothic" w:cs="Arial"/>
                <w:sz w:val="24"/>
                <w:szCs w:val="24"/>
              </w:rPr>
            </w:pPr>
          </w:p>
        </w:tc>
      </w:tr>
      <w:tr w:rsidR="00C60AED" w:rsidRPr="00997A59" w:rsidTr="00C60AED">
        <w:trPr>
          <w:trHeight w:val="315"/>
        </w:trPr>
        <w:tc>
          <w:tcPr>
            <w:tcW w:w="858" w:type="dxa"/>
            <w:vMerge/>
            <w:tcBorders>
              <w:top w:val="nil"/>
              <w:left w:val="single" w:sz="4" w:space="0" w:color="auto"/>
              <w:bottom w:val="single" w:sz="4" w:space="0" w:color="000000"/>
              <w:right w:val="nil"/>
            </w:tcBorders>
            <w:vAlign w:val="center"/>
            <w:hideMark/>
          </w:tcPr>
          <w:p w:rsidR="00C60AED" w:rsidRPr="00C60AED" w:rsidRDefault="00C60AED"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 xml:space="preserve">4) Padrão: 1 frasco com 3,0 ml de solução aquosa de uréia 70mg/dl (11,67 mmol/L), </w:t>
            </w:r>
          </w:p>
        </w:tc>
        <w:tc>
          <w:tcPr>
            <w:tcW w:w="1434" w:type="dxa"/>
            <w:vMerge/>
            <w:tcBorders>
              <w:left w:val="single" w:sz="4" w:space="0" w:color="auto"/>
              <w:right w:val="single" w:sz="4" w:space="0" w:color="auto"/>
            </w:tcBorders>
            <w:vAlign w:val="center"/>
            <w:hideMark/>
          </w:tcPr>
          <w:p w:rsidR="00C60AED" w:rsidRPr="00C60AED" w:rsidRDefault="00C60AED" w:rsidP="00997A59">
            <w:pPr>
              <w:rPr>
                <w:rFonts w:ascii="Century Gothic" w:hAnsi="Century Gothic" w:cs="Arial"/>
                <w:sz w:val="24"/>
                <w:szCs w:val="24"/>
              </w:rPr>
            </w:pPr>
          </w:p>
        </w:tc>
        <w:tc>
          <w:tcPr>
            <w:tcW w:w="1843" w:type="dxa"/>
            <w:vMerge/>
            <w:tcBorders>
              <w:left w:val="single" w:sz="4" w:space="0" w:color="auto"/>
              <w:right w:val="single" w:sz="4" w:space="0" w:color="auto"/>
            </w:tcBorders>
            <w:vAlign w:val="center"/>
            <w:hideMark/>
          </w:tcPr>
          <w:p w:rsidR="00C60AED" w:rsidRPr="00C60AED" w:rsidRDefault="00C60AED" w:rsidP="00997A59">
            <w:pPr>
              <w:rPr>
                <w:rFonts w:ascii="Century Gothic" w:hAnsi="Century Gothic" w:cs="Arial"/>
                <w:sz w:val="24"/>
                <w:szCs w:val="24"/>
              </w:rPr>
            </w:pPr>
          </w:p>
        </w:tc>
      </w:tr>
      <w:tr w:rsidR="00C60AED" w:rsidRPr="00997A59" w:rsidTr="00C60AED">
        <w:trPr>
          <w:trHeight w:val="315"/>
        </w:trPr>
        <w:tc>
          <w:tcPr>
            <w:tcW w:w="858" w:type="dxa"/>
            <w:vMerge/>
            <w:tcBorders>
              <w:top w:val="nil"/>
              <w:left w:val="single" w:sz="4" w:space="0" w:color="auto"/>
              <w:bottom w:val="single" w:sz="4" w:space="0" w:color="000000"/>
              <w:right w:val="nil"/>
            </w:tcBorders>
            <w:vAlign w:val="center"/>
            <w:hideMark/>
          </w:tcPr>
          <w:p w:rsidR="00C60AED" w:rsidRPr="00C60AED" w:rsidRDefault="00C60AED"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single" w:sz="4" w:space="0" w:color="auto"/>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contendo ácido benzóico 20 mmol/L.</w:t>
            </w:r>
          </w:p>
        </w:tc>
        <w:tc>
          <w:tcPr>
            <w:tcW w:w="1434" w:type="dxa"/>
            <w:vMerge/>
            <w:tcBorders>
              <w:left w:val="single" w:sz="4" w:space="0" w:color="auto"/>
              <w:bottom w:val="single" w:sz="4" w:space="0" w:color="000000"/>
              <w:right w:val="single" w:sz="4" w:space="0" w:color="auto"/>
            </w:tcBorders>
            <w:vAlign w:val="center"/>
            <w:hideMark/>
          </w:tcPr>
          <w:p w:rsidR="00C60AED" w:rsidRPr="00C60AED" w:rsidRDefault="00C60AED" w:rsidP="00997A59">
            <w:pPr>
              <w:rPr>
                <w:rFonts w:ascii="Century Gothic" w:hAnsi="Century Gothic" w:cs="Arial"/>
                <w:sz w:val="24"/>
                <w:szCs w:val="24"/>
              </w:rPr>
            </w:pPr>
          </w:p>
        </w:tc>
        <w:tc>
          <w:tcPr>
            <w:tcW w:w="1843" w:type="dxa"/>
            <w:vMerge/>
            <w:tcBorders>
              <w:left w:val="single" w:sz="4" w:space="0" w:color="auto"/>
              <w:bottom w:val="single" w:sz="4" w:space="0" w:color="000000"/>
              <w:right w:val="single" w:sz="4" w:space="0" w:color="auto"/>
            </w:tcBorders>
            <w:vAlign w:val="center"/>
            <w:hideMark/>
          </w:tcPr>
          <w:p w:rsidR="00C60AED" w:rsidRPr="00C60AED" w:rsidRDefault="00C60AED" w:rsidP="00997A59">
            <w:pPr>
              <w:rPr>
                <w:rFonts w:ascii="Century Gothic" w:hAnsi="Century Gothic" w:cs="Arial"/>
                <w:sz w:val="24"/>
                <w:szCs w:val="24"/>
              </w:rPr>
            </w:pPr>
          </w:p>
        </w:tc>
      </w:tr>
      <w:tr w:rsidR="00997A59" w:rsidRPr="00997A59" w:rsidTr="00C60AED">
        <w:trPr>
          <w:trHeight w:val="315"/>
        </w:trPr>
        <w:tc>
          <w:tcPr>
            <w:tcW w:w="858" w:type="dxa"/>
            <w:vMerge w:val="restart"/>
            <w:tcBorders>
              <w:top w:val="nil"/>
              <w:left w:val="single" w:sz="4" w:space="0" w:color="auto"/>
              <w:bottom w:val="single" w:sz="4" w:space="0" w:color="000000"/>
              <w:right w:val="nil"/>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Kit de bilirrubina conjunto para 88-222 determinações de bilirrubina, contendo:</w:t>
            </w:r>
          </w:p>
        </w:tc>
        <w:tc>
          <w:tcPr>
            <w:tcW w:w="14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Caixa</w:t>
            </w:r>
          </w:p>
        </w:tc>
        <w:tc>
          <w:tcPr>
            <w:tcW w:w="184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10</w:t>
            </w:r>
          </w:p>
        </w:tc>
      </w:tr>
      <w:tr w:rsidR="00997A59" w:rsidRPr="00997A59" w:rsidTr="00C60AED">
        <w:trPr>
          <w:trHeight w:val="315"/>
        </w:trPr>
        <w:tc>
          <w:tcPr>
            <w:tcW w:w="858" w:type="dxa"/>
            <w:vMerge/>
            <w:tcBorders>
              <w:top w:val="nil"/>
              <w:left w:val="single" w:sz="4" w:space="0" w:color="auto"/>
              <w:bottom w:val="single" w:sz="4" w:space="0" w:color="000000"/>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 xml:space="preserve">1) Acelerador: 2 frascos com 100 ml cada, de solução de cafeína 130mmol/L, benzoato </w:t>
            </w:r>
          </w:p>
        </w:tc>
        <w:tc>
          <w:tcPr>
            <w:tcW w:w="1434"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15"/>
        </w:trPr>
        <w:tc>
          <w:tcPr>
            <w:tcW w:w="858" w:type="dxa"/>
            <w:vMerge/>
            <w:tcBorders>
              <w:top w:val="nil"/>
              <w:left w:val="single" w:sz="4" w:space="0" w:color="auto"/>
              <w:bottom w:val="single" w:sz="4" w:space="0" w:color="000000"/>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 xml:space="preserve">de sódio 260 mmol/L e acetato de sódio 460 mmol/L. Conservar entre 2 e 8 graus C. </w:t>
            </w:r>
          </w:p>
        </w:tc>
        <w:tc>
          <w:tcPr>
            <w:tcW w:w="1434"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15"/>
        </w:trPr>
        <w:tc>
          <w:tcPr>
            <w:tcW w:w="858" w:type="dxa"/>
            <w:vMerge/>
            <w:tcBorders>
              <w:top w:val="nil"/>
              <w:left w:val="single" w:sz="4" w:space="0" w:color="auto"/>
              <w:bottom w:val="single" w:sz="4" w:space="0" w:color="000000"/>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2) Ácido sulfanílico: 1 frasco com 96 ml, de solução de ácido sulfanílico 5,75 mmol/L</w:t>
            </w:r>
          </w:p>
        </w:tc>
        <w:tc>
          <w:tcPr>
            <w:tcW w:w="1434"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15"/>
        </w:trPr>
        <w:tc>
          <w:tcPr>
            <w:tcW w:w="858" w:type="dxa"/>
            <w:vMerge/>
            <w:tcBorders>
              <w:top w:val="nil"/>
              <w:left w:val="single" w:sz="4" w:space="0" w:color="auto"/>
              <w:bottom w:val="single" w:sz="4" w:space="0" w:color="000000"/>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em ácido clorídrico 180 mmol/L. Conservar entre 2 e 8°C.</w:t>
            </w:r>
          </w:p>
        </w:tc>
        <w:tc>
          <w:tcPr>
            <w:tcW w:w="1434"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15"/>
        </w:trPr>
        <w:tc>
          <w:tcPr>
            <w:tcW w:w="858" w:type="dxa"/>
            <w:vMerge/>
            <w:tcBorders>
              <w:top w:val="nil"/>
              <w:left w:val="single" w:sz="4" w:space="0" w:color="auto"/>
              <w:bottom w:val="single" w:sz="4" w:space="0" w:color="000000"/>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3) Nitrito de sódio: 1 frasco com 4,0 ml de solução de nitrito de sódio (72,4 mmol/L).</w:t>
            </w:r>
          </w:p>
        </w:tc>
        <w:tc>
          <w:tcPr>
            <w:tcW w:w="1434"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15"/>
        </w:trPr>
        <w:tc>
          <w:tcPr>
            <w:tcW w:w="858" w:type="dxa"/>
            <w:vMerge/>
            <w:tcBorders>
              <w:top w:val="nil"/>
              <w:left w:val="single" w:sz="4" w:space="0" w:color="auto"/>
              <w:bottom w:val="single" w:sz="4" w:space="0" w:color="000000"/>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 xml:space="preserve">Conservar entre 2 e 8 graus C. </w:t>
            </w:r>
          </w:p>
        </w:tc>
        <w:tc>
          <w:tcPr>
            <w:tcW w:w="1434"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15"/>
        </w:trPr>
        <w:tc>
          <w:tcPr>
            <w:tcW w:w="858" w:type="dxa"/>
            <w:vMerge/>
            <w:tcBorders>
              <w:top w:val="nil"/>
              <w:left w:val="single" w:sz="4" w:space="0" w:color="auto"/>
              <w:bottom w:val="single" w:sz="4" w:space="0" w:color="000000"/>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4) Padrão: 1 frasco com 3,0 mg de bilirrubina dessecada. Conservar entre 2 e 8 °C.</w:t>
            </w:r>
          </w:p>
        </w:tc>
        <w:tc>
          <w:tcPr>
            <w:tcW w:w="1434"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15"/>
        </w:trPr>
        <w:tc>
          <w:tcPr>
            <w:tcW w:w="858" w:type="dxa"/>
            <w:vMerge/>
            <w:tcBorders>
              <w:top w:val="nil"/>
              <w:left w:val="single" w:sz="4" w:space="0" w:color="auto"/>
              <w:bottom w:val="single" w:sz="4" w:space="0" w:color="000000"/>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5) Solvente: 1 frasco com 3,5 ml de dimetilsulfóxido anidro. Conserve entre 2 e 8°C.</w:t>
            </w:r>
          </w:p>
        </w:tc>
        <w:tc>
          <w:tcPr>
            <w:tcW w:w="1434"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15"/>
        </w:trPr>
        <w:tc>
          <w:tcPr>
            <w:tcW w:w="858" w:type="dxa"/>
            <w:vMerge w:val="restart"/>
            <w:tcBorders>
              <w:top w:val="nil"/>
              <w:left w:val="single" w:sz="4" w:space="0" w:color="auto"/>
              <w:bottom w:val="single" w:sz="4" w:space="0" w:color="000000"/>
              <w:right w:val="nil"/>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 xml:space="preserve">Kit de TGP cinética conjunto para 100 determinações da Alamina amino transferase </w:t>
            </w:r>
          </w:p>
        </w:tc>
        <w:tc>
          <w:tcPr>
            <w:tcW w:w="14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Caixa</w:t>
            </w:r>
          </w:p>
        </w:tc>
        <w:tc>
          <w:tcPr>
            <w:tcW w:w="184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15</w:t>
            </w:r>
          </w:p>
        </w:tc>
      </w:tr>
      <w:tr w:rsidR="00997A59" w:rsidRPr="00997A59" w:rsidTr="00C60AED">
        <w:trPr>
          <w:trHeight w:val="315"/>
        </w:trPr>
        <w:tc>
          <w:tcPr>
            <w:tcW w:w="858" w:type="dxa"/>
            <w:vMerge/>
            <w:tcBorders>
              <w:top w:val="nil"/>
              <w:left w:val="single" w:sz="4" w:space="0" w:color="auto"/>
              <w:bottom w:val="single" w:sz="4" w:space="0" w:color="000000"/>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(GPT), contendo: 1) Tampão: 4 frascos com 25 ml cada, de solução tamponada em pH</w:t>
            </w:r>
          </w:p>
        </w:tc>
        <w:tc>
          <w:tcPr>
            <w:tcW w:w="1434"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15"/>
        </w:trPr>
        <w:tc>
          <w:tcPr>
            <w:tcW w:w="858" w:type="dxa"/>
            <w:vMerge/>
            <w:tcBorders>
              <w:top w:val="nil"/>
              <w:left w:val="single" w:sz="4" w:space="0" w:color="auto"/>
              <w:bottom w:val="single" w:sz="4" w:space="0" w:color="000000"/>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 xml:space="preserve">7,80, contendo a-cefoglutarato 12 mmol/L, L-alanina 500 mmol/L, EDTA 5 mmol/L e </w:t>
            </w:r>
          </w:p>
        </w:tc>
        <w:tc>
          <w:tcPr>
            <w:tcW w:w="1434"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15"/>
        </w:trPr>
        <w:tc>
          <w:tcPr>
            <w:tcW w:w="858" w:type="dxa"/>
            <w:vMerge/>
            <w:tcBorders>
              <w:top w:val="nil"/>
              <w:left w:val="single" w:sz="4" w:space="0" w:color="auto"/>
              <w:bottom w:val="single" w:sz="4" w:space="0" w:color="000000"/>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azida sódica 15,5 mmol/L.</w:t>
            </w:r>
          </w:p>
        </w:tc>
        <w:tc>
          <w:tcPr>
            <w:tcW w:w="1434"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15"/>
        </w:trPr>
        <w:tc>
          <w:tcPr>
            <w:tcW w:w="858" w:type="dxa"/>
            <w:vMerge/>
            <w:tcBorders>
              <w:top w:val="nil"/>
              <w:left w:val="single" w:sz="4" w:space="0" w:color="auto"/>
              <w:bottom w:val="single" w:sz="4" w:space="0" w:color="000000"/>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 xml:space="preserve">2) Reagente enzimático: 1 frasco com 1,0 ml de solução tamponada em pH 7,80, </w:t>
            </w:r>
          </w:p>
        </w:tc>
        <w:tc>
          <w:tcPr>
            <w:tcW w:w="1434"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15"/>
        </w:trPr>
        <w:tc>
          <w:tcPr>
            <w:tcW w:w="858" w:type="dxa"/>
            <w:vMerge/>
            <w:tcBorders>
              <w:top w:val="nil"/>
              <w:left w:val="single" w:sz="4" w:space="0" w:color="auto"/>
              <w:bottom w:val="single" w:sz="4" w:space="0" w:color="000000"/>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 xml:space="preserve">100x concentrada, contendo desidrogenase láctica &gt; 120.000 U/L e azida sódica </w:t>
            </w:r>
          </w:p>
        </w:tc>
        <w:tc>
          <w:tcPr>
            <w:tcW w:w="1434"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15"/>
        </w:trPr>
        <w:tc>
          <w:tcPr>
            <w:tcW w:w="858" w:type="dxa"/>
            <w:vMerge/>
            <w:tcBorders>
              <w:top w:val="nil"/>
              <w:left w:val="single" w:sz="4" w:space="0" w:color="auto"/>
              <w:bottom w:val="single" w:sz="4" w:space="0" w:color="000000"/>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15,5 mmol/L.</w:t>
            </w:r>
          </w:p>
        </w:tc>
        <w:tc>
          <w:tcPr>
            <w:tcW w:w="1434"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15"/>
        </w:trPr>
        <w:tc>
          <w:tcPr>
            <w:tcW w:w="858" w:type="dxa"/>
            <w:vMerge/>
            <w:tcBorders>
              <w:top w:val="nil"/>
              <w:left w:val="single" w:sz="4" w:space="0" w:color="auto"/>
              <w:bottom w:val="single" w:sz="4" w:space="0" w:color="000000"/>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3) Coenzima: 1 frasco contendo NADH2 em forma liofilizada na concentração de 25</w:t>
            </w:r>
          </w:p>
        </w:tc>
        <w:tc>
          <w:tcPr>
            <w:tcW w:w="1434"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15"/>
        </w:trPr>
        <w:tc>
          <w:tcPr>
            <w:tcW w:w="858" w:type="dxa"/>
            <w:vMerge/>
            <w:tcBorders>
              <w:top w:val="nil"/>
              <w:left w:val="single" w:sz="4" w:space="0" w:color="auto"/>
              <w:bottom w:val="single" w:sz="4" w:space="0" w:color="000000"/>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single" w:sz="4" w:space="0" w:color="auto"/>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mmol/L após reconstituição.</w:t>
            </w:r>
          </w:p>
        </w:tc>
        <w:tc>
          <w:tcPr>
            <w:tcW w:w="1434"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15"/>
        </w:trPr>
        <w:tc>
          <w:tcPr>
            <w:tcW w:w="858" w:type="dxa"/>
            <w:vMerge w:val="restart"/>
            <w:tcBorders>
              <w:top w:val="nil"/>
              <w:left w:val="single" w:sz="4" w:space="0" w:color="auto"/>
              <w:bottom w:val="single" w:sz="4" w:space="0" w:color="000000"/>
              <w:right w:val="nil"/>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Kit de TGO cinética conjunto para 100 determinações da Asparato amino transferase</w:t>
            </w:r>
          </w:p>
        </w:tc>
        <w:tc>
          <w:tcPr>
            <w:tcW w:w="14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Caixa</w:t>
            </w:r>
          </w:p>
        </w:tc>
        <w:tc>
          <w:tcPr>
            <w:tcW w:w="184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15</w:t>
            </w:r>
          </w:p>
        </w:tc>
      </w:tr>
      <w:tr w:rsidR="00997A59" w:rsidRPr="00997A59" w:rsidTr="00C60AED">
        <w:trPr>
          <w:trHeight w:val="315"/>
        </w:trPr>
        <w:tc>
          <w:tcPr>
            <w:tcW w:w="858" w:type="dxa"/>
            <w:vMerge/>
            <w:tcBorders>
              <w:top w:val="nil"/>
              <w:left w:val="single" w:sz="4" w:space="0" w:color="auto"/>
              <w:bottom w:val="single" w:sz="4" w:space="0" w:color="000000"/>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(GOT), contendo: 1) Tampão: 4 frascos com 25 ml cada, de solução tamponada em pH</w:t>
            </w:r>
          </w:p>
        </w:tc>
        <w:tc>
          <w:tcPr>
            <w:tcW w:w="1434"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15"/>
        </w:trPr>
        <w:tc>
          <w:tcPr>
            <w:tcW w:w="858" w:type="dxa"/>
            <w:vMerge/>
            <w:tcBorders>
              <w:top w:val="nil"/>
              <w:left w:val="single" w:sz="4" w:space="0" w:color="auto"/>
              <w:bottom w:val="single" w:sz="4" w:space="0" w:color="000000"/>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 xml:space="preserve"> 7,80, contendo a-cefoglutarato 12 mmol/L, L-aspartato 240 mmol/L, EDTA 5 mmol/L</w:t>
            </w:r>
          </w:p>
        </w:tc>
        <w:tc>
          <w:tcPr>
            <w:tcW w:w="1434"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15"/>
        </w:trPr>
        <w:tc>
          <w:tcPr>
            <w:tcW w:w="858" w:type="dxa"/>
            <w:vMerge/>
            <w:tcBorders>
              <w:top w:val="nil"/>
              <w:left w:val="single" w:sz="4" w:space="0" w:color="auto"/>
              <w:bottom w:val="single" w:sz="4" w:space="0" w:color="000000"/>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e azida sódica 15,5 mmol/L.</w:t>
            </w:r>
          </w:p>
        </w:tc>
        <w:tc>
          <w:tcPr>
            <w:tcW w:w="1434"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15"/>
        </w:trPr>
        <w:tc>
          <w:tcPr>
            <w:tcW w:w="858" w:type="dxa"/>
            <w:vMerge/>
            <w:tcBorders>
              <w:top w:val="nil"/>
              <w:left w:val="single" w:sz="4" w:space="0" w:color="auto"/>
              <w:bottom w:val="single" w:sz="4" w:space="0" w:color="000000"/>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 xml:space="preserve">2) Reagente enzimático: 1 frasco com 1,0 ml de solução tamponada em pH 7,80, </w:t>
            </w:r>
          </w:p>
        </w:tc>
        <w:tc>
          <w:tcPr>
            <w:tcW w:w="1434"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15"/>
        </w:trPr>
        <w:tc>
          <w:tcPr>
            <w:tcW w:w="858" w:type="dxa"/>
            <w:vMerge/>
            <w:tcBorders>
              <w:top w:val="nil"/>
              <w:left w:val="single" w:sz="4" w:space="0" w:color="auto"/>
              <w:bottom w:val="single" w:sz="4" w:space="0" w:color="000000"/>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100x concentrada, contendo desidrogenase málica &gt; 4.200 U/L, desidrogenase</w:t>
            </w:r>
          </w:p>
        </w:tc>
        <w:tc>
          <w:tcPr>
            <w:tcW w:w="1434"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15"/>
        </w:trPr>
        <w:tc>
          <w:tcPr>
            <w:tcW w:w="858" w:type="dxa"/>
            <w:vMerge/>
            <w:tcBorders>
              <w:top w:val="nil"/>
              <w:left w:val="single" w:sz="4" w:space="0" w:color="auto"/>
              <w:bottom w:val="single" w:sz="4" w:space="0" w:color="000000"/>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láctica &gt;60.000 U/L e azida sódica 15,5 mmol/L.</w:t>
            </w:r>
          </w:p>
        </w:tc>
        <w:tc>
          <w:tcPr>
            <w:tcW w:w="1434"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15"/>
        </w:trPr>
        <w:tc>
          <w:tcPr>
            <w:tcW w:w="858" w:type="dxa"/>
            <w:vMerge/>
            <w:tcBorders>
              <w:top w:val="nil"/>
              <w:left w:val="single" w:sz="4" w:space="0" w:color="auto"/>
              <w:bottom w:val="single" w:sz="4" w:space="0" w:color="000000"/>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3) Coenzima: 1 frasco contendo NADH2 em forma liofilizada na concentração de 25</w:t>
            </w:r>
          </w:p>
        </w:tc>
        <w:tc>
          <w:tcPr>
            <w:tcW w:w="1434"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15"/>
        </w:trPr>
        <w:tc>
          <w:tcPr>
            <w:tcW w:w="858" w:type="dxa"/>
            <w:vMerge/>
            <w:tcBorders>
              <w:top w:val="nil"/>
              <w:left w:val="single" w:sz="4" w:space="0" w:color="auto"/>
              <w:bottom w:val="single" w:sz="4" w:space="0" w:color="000000"/>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mmol/L após reconstituição.</w:t>
            </w:r>
          </w:p>
        </w:tc>
        <w:tc>
          <w:tcPr>
            <w:tcW w:w="1434"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15"/>
        </w:trPr>
        <w:tc>
          <w:tcPr>
            <w:tcW w:w="858" w:type="dxa"/>
            <w:vMerge w:val="restart"/>
            <w:tcBorders>
              <w:top w:val="nil"/>
              <w:left w:val="single" w:sz="4" w:space="0" w:color="auto"/>
              <w:bottom w:val="nil"/>
              <w:right w:val="nil"/>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Kit de mucoproteína  colorimétrico contendo:</w:t>
            </w:r>
          </w:p>
        </w:tc>
        <w:tc>
          <w:tcPr>
            <w:tcW w:w="1434" w:type="dxa"/>
            <w:vMerge w:val="restart"/>
            <w:tcBorders>
              <w:top w:val="nil"/>
              <w:left w:val="single" w:sz="4" w:space="0" w:color="auto"/>
              <w:bottom w:val="nil"/>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Caixa</w:t>
            </w:r>
          </w:p>
        </w:tc>
        <w:tc>
          <w:tcPr>
            <w:tcW w:w="1843" w:type="dxa"/>
            <w:vMerge w:val="restart"/>
            <w:tcBorders>
              <w:top w:val="nil"/>
              <w:left w:val="single" w:sz="4" w:space="0" w:color="auto"/>
              <w:bottom w:val="nil"/>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12</w:t>
            </w:r>
          </w:p>
        </w:tc>
      </w:tr>
      <w:tr w:rsidR="00997A59" w:rsidRPr="00997A59" w:rsidTr="00C60AED">
        <w:trPr>
          <w:trHeight w:val="315"/>
        </w:trPr>
        <w:tc>
          <w:tcPr>
            <w:tcW w:w="858" w:type="dxa"/>
            <w:vMerge/>
            <w:tcBorders>
              <w:top w:val="nil"/>
              <w:left w:val="single" w:sz="4" w:space="0" w:color="auto"/>
              <w:bottom w:val="nil"/>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1)Reativo Padrão: Solução estabilizada de Tirosina equivalente a 119mg/dl de Muciopro-</w:t>
            </w:r>
          </w:p>
        </w:tc>
        <w:tc>
          <w:tcPr>
            <w:tcW w:w="1434" w:type="dxa"/>
            <w:vMerge/>
            <w:tcBorders>
              <w:top w:val="nil"/>
              <w:left w:val="single" w:sz="4" w:space="0" w:color="auto"/>
              <w:bottom w:val="nil"/>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nil"/>
              <w:left w:val="single" w:sz="4" w:space="0" w:color="auto"/>
              <w:bottom w:val="nil"/>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15"/>
        </w:trPr>
        <w:tc>
          <w:tcPr>
            <w:tcW w:w="858" w:type="dxa"/>
            <w:vMerge/>
            <w:tcBorders>
              <w:top w:val="nil"/>
              <w:left w:val="single" w:sz="4" w:space="0" w:color="auto"/>
              <w:bottom w:val="nil"/>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teínas (5mg/dl de Tirosina), nas condições da reação, volume = 4ml.</w:t>
            </w:r>
          </w:p>
        </w:tc>
        <w:tc>
          <w:tcPr>
            <w:tcW w:w="1434" w:type="dxa"/>
            <w:vMerge/>
            <w:tcBorders>
              <w:top w:val="nil"/>
              <w:left w:val="single" w:sz="4" w:space="0" w:color="auto"/>
              <w:bottom w:val="nil"/>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nil"/>
              <w:left w:val="single" w:sz="4" w:space="0" w:color="auto"/>
              <w:bottom w:val="nil"/>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15"/>
        </w:trPr>
        <w:tc>
          <w:tcPr>
            <w:tcW w:w="858" w:type="dxa"/>
            <w:vMerge/>
            <w:tcBorders>
              <w:top w:val="nil"/>
              <w:left w:val="single" w:sz="4" w:space="0" w:color="auto"/>
              <w:bottom w:val="nil"/>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2)Reativo Desproteinizante: Ácido perclórico 1,2 N (concentrando) volume = 125mL.</w:t>
            </w:r>
          </w:p>
        </w:tc>
        <w:tc>
          <w:tcPr>
            <w:tcW w:w="1434" w:type="dxa"/>
            <w:vMerge/>
            <w:tcBorders>
              <w:top w:val="nil"/>
              <w:left w:val="single" w:sz="4" w:space="0" w:color="auto"/>
              <w:bottom w:val="nil"/>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nil"/>
              <w:left w:val="single" w:sz="4" w:space="0" w:color="auto"/>
              <w:bottom w:val="nil"/>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15"/>
        </w:trPr>
        <w:tc>
          <w:tcPr>
            <w:tcW w:w="858" w:type="dxa"/>
            <w:vMerge/>
            <w:tcBorders>
              <w:top w:val="nil"/>
              <w:left w:val="single" w:sz="4" w:space="0" w:color="auto"/>
              <w:bottom w:val="nil"/>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3)Reativo Precipitante: Ácido Fosfotúngstico 5% em HCI 2 N, volume = 30 ml.</w:t>
            </w:r>
          </w:p>
        </w:tc>
        <w:tc>
          <w:tcPr>
            <w:tcW w:w="1434" w:type="dxa"/>
            <w:vMerge/>
            <w:tcBorders>
              <w:top w:val="nil"/>
              <w:left w:val="single" w:sz="4" w:space="0" w:color="auto"/>
              <w:bottom w:val="nil"/>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nil"/>
              <w:left w:val="single" w:sz="4" w:space="0" w:color="auto"/>
              <w:bottom w:val="nil"/>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15"/>
        </w:trPr>
        <w:tc>
          <w:tcPr>
            <w:tcW w:w="858" w:type="dxa"/>
            <w:vMerge/>
            <w:tcBorders>
              <w:top w:val="nil"/>
              <w:left w:val="single" w:sz="4" w:space="0" w:color="auto"/>
              <w:bottom w:val="nil"/>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4)Reativo Dissolvente Alcalino: Carbonato de Sódio 0,2mol/L (concentrado), volume 120ML</w:t>
            </w:r>
          </w:p>
        </w:tc>
        <w:tc>
          <w:tcPr>
            <w:tcW w:w="1434" w:type="dxa"/>
            <w:vMerge/>
            <w:tcBorders>
              <w:top w:val="nil"/>
              <w:left w:val="single" w:sz="4" w:space="0" w:color="auto"/>
              <w:bottom w:val="nil"/>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nil"/>
              <w:left w:val="single" w:sz="4" w:space="0" w:color="auto"/>
              <w:bottom w:val="nil"/>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15"/>
        </w:trPr>
        <w:tc>
          <w:tcPr>
            <w:tcW w:w="858" w:type="dxa"/>
            <w:vMerge/>
            <w:tcBorders>
              <w:top w:val="nil"/>
              <w:left w:val="single" w:sz="4" w:space="0" w:color="auto"/>
              <w:bottom w:val="nil"/>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5)Reativo Folin - Ciocalteau: reativo Fosfotúngstico - molíbdico, volume = 24 mL.</w:t>
            </w:r>
          </w:p>
        </w:tc>
        <w:tc>
          <w:tcPr>
            <w:tcW w:w="1434" w:type="dxa"/>
            <w:vMerge/>
            <w:tcBorders>
              <w:top w:val="nil"/>
              <w:left w:val="single" w:sz="4" w:space="0" w:color="auto"/>
              <w:bottom w:val="nil"/>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nil"/>
              <w:left w:val="single" w:sz="4" w:space="0" w:color="auto"/>
              <w:bottom w:val="nil"/>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15"/>
        </w:trPr>
        <w:tc>
          <w:tcPr>
            <w:tcW w:w="858" w:type="dxa"/>
            <w:tcBorders>
              <w:top w:val="single" w:sz="4" w:space="0" w:color="auto"/>
              <w:left w:val="single" w:sz="4" w:space="0" w:color="auto"/>
              <w:bottom w:val="single" w:sz="4" w:space="0" w:color="auto"/>
              <w:right w:val="nil"/>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Kit de corante panótico</w:t>
            </w:r>
          </w:p>
        </w:tc>
        <w:tc>
          <w:tcPr>
            <w:tcW w:w="1434" w:type="dxa"/>
            <w:tcBorders>
              <w:top w:val="single" w:sz="4" w:space="0" w:color="auto"/>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Caixa</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4</w:t>
            </w:r>
          </w:p>
        </w:tc>
      </w:tr>
      <w:tr w:rsidR="00997A59" w:rsidRPr="00997A59" w:rsidTr="00C60AED">
        <w:trPr>
          <w:trHeight w:val="315"/>
        </w:trPr>
        <w:tc>
          <w:tcPr>
            <w:tcW w:w="858" w:type="dxa"/>
            <w:vMerge w:val="restart"/>
            <w:tcBorders>
              <w:top w:val="nil"/>
              <w:left w:val="single" w:sz="4" w:space="0" w:color="auto"/>
              <w:bottom w:val="nil"/>
              <w:right w:val="nil"/>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Kit de creatinina cinética conjunto para 100 determinações de creatinina, contendo:</w:t>
            </w:r>
          </w:p>
        </w:tc>
        <w:tc>
          <w:tcPr>
            <w:tcW w:w="1434" w:type="dxa"/>
            <w:vMerge w:val="restart"/>
            <w:tcBorders>
              <w:top w:val="nil"/>
              <w:left w:val="single" w:sz="4" w:space="0" w:color="auto"/>
              <w:bottom w:val="nil"/>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Caixa</w:t>
            </w:r>
          </w:p>
        </w:tc>
        <w:tc>
          <w:tcPr>
            <w:tcW w:w="1843" w:type="dxa"/>
            <w:vMerge w:val="restart"/>
            <w:tcBorders>
              <w:top w:val="nil"/>
              <w:left w:val="single" w:sz="4" w:space="0" w:color="auto"/>
              <w:bottom w:val="nil"/>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18</w:t>
            </w:r>
          </w:p>
        </w:tc>
      </w:tr>
      <w:tr w:rsidR="00997A59" w:rsidRPr="00997A59" w:rsidTr="00C60AED">
        <w:trPr>
          <w:trHeight w:val="315"/>
        </w:trPr>
        <w:tc>
          <w:tcPr>
            <w:tcW w:w="858" w:type="dxa"/>
            <w:vMerge/>
            <w:tcBorders>
              <w:top w:val="nil"/>
              <w:left w:val="single" w:sz="4" w:space="0" w:color="auto"/>
              <w:bottom w:val="nil"/>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1) Tampão: 2 frascos com 100 ml cada, de solução aquosa contendo hidróxido de sódio</w:t>
            </w:r>
          </w:p>
        </w:tc>
        <w:tc>
          <w:tcPr>
            <w:tcW w:w="1434" w:type="dxa"/>
            <w:vMerge/>
            <w:tcBorders>
              <w:top w:val="nil"/>
              <w:left w:val="single" w:sz="4" w:space="0" w:color="auto"/>
              <w:bottom w:val="nil"/>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nil"/>
              <w:left w:val="single" w:sz="4" w:space="0" w:color="auto"/>
              <w:bottom w:val="nil"/>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15"/>
        </w:trPr>
        <w:tc>
          <w:tcPr>
            <w:tcW w:w="858" w:type="dxa"/>
            <w:vMerge/>
            <w:tcBorders>
              <w:top w:val="nil"/>
              <w:left w:val="single" w:sz="4" w:space="0" w:color="auto"/>
              <w:bottom w:val="nil"/>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125 mmol/L e tetraborato de sódio 24 mmol/L. Conservar entre 15 e 25ºC</w:t>
            </w:r>
          </w:p>
        </w:tc>
        <w:tc>
          <w:tcPr>
            <w:tcW w:w="1434" w:type="dxa"/>
            <w:vMerge/>
            <w:tcBorders>
              <w:top w:val="nil"/>
              <w:left w:val="single" w:sz="4" w:space="0" w:color="auto"/>
              <w:bottom w:val="nil"/>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nil"/>
              <w:left w:val="single" w:sz="4" w:space="0" w:color="auto"/>
              <w:bottom w:val="nil"/>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15"/>
        </w:trPr>
        <w:tc>
          <w:tcPr>
            <w:tcW w:w="858" w:type="dxa"/>
            <w:vMerge/>
            <w:tcBorders>
              <w:top w:val="nil"/>
              <w:left w:val="single" w:sz="4" w:space="0" w:color="auto"/>
              <w:bottom w:val="nil"/>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2) Ácido pícrico: 1 frasco com 50 ml de solução aquosa de ácido pícrico 44 mmol/L.</w:t>
            </w:r>
          </w:p>
        </w:tc>
        <w:tc>
          <w:tcPr>
            <w:tcW w:w="1434" w:type="dxa"/>
            <w:vMerge/>
            <w:tcBorders>
              <w:top w:val="nil"/>
              <w:left w:val="single" w:sz="4" w:space="0" w:color="auto"/>
              <w:bottom w:val="nil"/>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nil"/>
              <w:left w:val="single" w:sz="4" w:space="0" w:color="auto"/>
              <w:bottom w:val="nil"/>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15"/>
        </w:trPr>
        <w:tc>
          <w:tcPr>
            <w:tcW w:w="858" w:type="dxa"/>
            <w:vMerge/>
            <w:tcBorders>
              <w:top w:val="nil"/>
              <w:left w:val="single" w:sz="4" w:space="0" w:color="auto"/>
              <w:bottom w:val="nil"/>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 xml:space="preserve">Conservar entre 15 e 25° C. </w:t>
            </w:r>
          </w:p>
        </w:tc>
        <w:tc>
          <w:tcPr>
            <w:tcW w:w="1434" w:type="dxa"/>
            <w:vMerge/>
            <w:tcBorders>
              <w:top w:val="nil"/>
              <w:left w:val="single" w:sz="4" w:space="0" w:color="auto"/>
              <w:bottom w:val="nil"/>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nil"/>
              <w:left w:val="single" w:sz="4" w:space="0" w:color="auto"/>
              <w:bottom w:val="nil"/>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15"/>
        </w:trPr>
        <w:tc>
          <w:tcPr>
            <w:tcW w:w="858" w:type="dxa"/>
            <w:vMerge/>
            <w:tcBorders>
              <w:top w:val="nil"/>
              <w:left w:val="single" w:sz="4" w:space="0" w:color="auto"/>
              <w:bottom w:val="nil"/>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 xml:space="preserve">3) Acidificante: 1 frasco com 10 ml solução de ácido acético 11 mmol/L. Conservar </w:t>
            </w:r>
          </w:p>
        </w:tc>
        <w:tc>
          <w:tcPr>
            <w:tcW w:w="1434" w:type="dxa"/>
            <w:vMerge/>
            <w:tcBorders>
              <w:top w:val="nil"/>
              <w:left w:val="single" w:sz="4" w:space="0" w:color="auto"/>
              <w:bottom w:val="nil"/>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nil"/>
              <w:left w:val="single" w:sz="4" w:space="0" w:color="auto"/>
              <w:bottom w:val="nil"/>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15"/>
        </w:trPr>
        <w:tc>
          <w:tcPr>
            <w:tcW w:w="858" w:type="dxa"/>
            <w:vMerge/>
            <w:tcBorders>
              <w:top w:val="nil"/>
              <w:left w:val="single" w:sz="4" w:space="0" w:color="auto"/>
              <w:bottom w:val="nil"/>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entre 15 e 25°C.</w:t>
            </w:r>
          </w:p>
        </w:tc>
        <w:tc>
          <w:tcPr>
            <w:tcW w:w="1434" w:type="dxa"/>
            <w:vMerge/>
            <w:tcBorders>
              <w:top w:val="nil"/>
              <w:left w:val="single" w:sz="4" w:space="0" w:color="auto"/>
              <w:bottom w:val="nil"/>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nil"/>
              <w:left w:val="single" w:sz="4" w:space="0" w:color="auto"/>
              <w:bottom w:val="nil"/>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15"/>
        </w:trPr>
        <w:tc>
          <w:tcPr>
            <w:tcW w:w="858" w:type="dxa"/>
            <w:vMerge/>
            <w:tcBorders>
              <w:top w:val="nil"/>
              <w:left w:val="single" w:sz="4" w:space="0" w:color="auto"/>
              <w:bottom w:val="nil"/>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4) Padrão: 1 frasco com 10 ml solução aquosa de creatinina 3,0 mg/dl. Conservar</w:t>
            </w:r>
          </w:p>
        </w:tc>
        <w:tc>
          <w:tcPr>
            <w:tcW w:w="1434" w:type="dxa"/>
            <w:vMerge/>
            <w:tcBorders>
              <w:top w:val="nil"/>
              <w:left w:val="single" w:sz="4" w:space="0" w:color="auto"/>
              <w:bottom w:val="nil"/>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nil"/>
              <w:left w:val="single" w:sz="4" w:space="0" w:color="auto"/>
              <w:bottom w:val="nil"/>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15"/>
        </w:trPr>
        <w:tc>
          <w:tcPr>
            <w:tcW w:w="858" w:type="dxa"/>
            <w:vMerge/>
            <w:tcBorders>
              <w:top w:val="nil"/>
              <w:left w:val="single" w:sz="4" w:space="0" w:color="auto"/>
              <w:bottom w:val="nil"/>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entre 15 e 25°C.</w:t>
            </w:r>
          </w:p>
        </w:tc>
        <w:tc>
          <w:tcPr>
            <w:tcW w:w="1434" w:type="dxa"/>
            <w:vMerge/>
            <w:tcBorders>
              <w:top w:val="nil"/>
              <w:left w:val="single" w:sz="4" w:space="0" w:color="auto"/>
              <w:bottom w:val="nil"/>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nil"/>
              <w:left w:val="single" w:sz="4" w:space="0" w:color="auto"/>
              <w:bottom w:val="nil"/>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00"/>
        </w:trPr>
        <w:tc>
          <w:tcPr>
            <w:tcW w:w="85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nil"/>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 xml:space="preserve">Kit de HDL precipitante que contenha padrão. Atentar em ser a mesma marca que o coles- </w:t>
            </w:r>
          </w:p>
        </w:tc>
        <w:tc>
          <w:tcPr>
            <w:tcW w:w="14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Caixa</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36</w:t>
            </w:r>
          </w:p>
        </w:tc>
      </w:tr>
      <w:tr w:rsidR="00997A59" w:rsidRPr="00997A59" w:rsidTr="00C60AED">
        <w:trPr>
          <w:trHeight w:val="300"/>
        </w:trPr>
        <w:tc>
          <w:tcPr>
            <w:tcW w:w="858" w:type="dxa"/>
            <w:vMerge/>
            <w:tcBorders>
              <w:top w:val="single" w:sz="4" w:space="0" w:color="auto"/>
              <w:left w:val="single" w:sz="4" w:space="0" w:color="auto"/>
              <w:bottom w:val="single" w:sz="4" w:space="0" w:color="000000"/>
              <w:right w:val="single" w:sz="4" w:space="0" w:color="auto"/>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nil"/>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terol total.</w:t>
            </w:r>
          </w:p>
        </w:tc>
        <w:tc>
          <w:tcPr>
            <w:tcW w:w="1434" w:type="dxa"/>
            <w:vMerge/>
            <w:tcBorders>
              <w:top w:val="single" w:sz="4" w:space="0" w:color="auto"/>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00"/>
        </w:trPr>
        <w:tc>
          <w:tcPr>
            <w:tcW w:w="858" w:type="dxa"/>
            <w:vMerge w:val="restart"/>
            <w:tcBorders>
              <w:top w:val="nil"/>
              <w:left w:val="single" w:sz="4" w:space="0" w:color="auto"/>
              <w:bottom w:val="single" w:sz="4" w:space="0" w:color="000000"/>
              <w:right w:val="nil"/>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Kit de Chagas HAI contendo: Suspensão de Hemácias : 2,4 mL, Diluente : 40 mL,</w:t>
            </w:r>
          </w:p>
        </w:tc>
        <w:tc>
          <w:tcPr>
            <w:tcW w:w="14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Caixa</w:t>
            </w:r>
          </w:p>
        </w:tc>
        <w:tc>
          <w:tcPr>
            <w:tcW w:w="184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10</w:t>
            </w:r>
          </w:p>
        </w:tc>
      </w:tr>
      <w:tr w:rsidR="00997A59" w:rsidRPr="00997A59" w:rsidTr="00C60AED">
        <w:trPr>
          <w:trHeight w:val="300"/>
        </w:trPr>
        <w:tc>
          <w:tcPr>
            <w:tcW w:w="858" w:type="dxa"/>
            <w:vMerge/>
            <w:tcBorders>
              <w:top w:val="nil"/>
              <w:left w:val="single" w:sz="4" w:space="0" w:color="auto"/>
              <w:bottom w:val="single" w:sz="4" w:space="0" w:color="000000"/>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single" w:sz="4" w:space="0" w:color="000000"/>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 xml:space="preserve">2-Mercaptoetanol : 0,5 mL, Controle Positivo : 1 mL, Controle Negativo : 1 mL, Placa de </w:t>
            </w:r>
          </w:p>
        </w:tc>
        <w:tc>
          <w:tcPr>
            <w:tcW w:w="1434"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00"/>
        </w:trPr>
        <w:tc>
          <w:tcPr>
            <w:tcW w:w="858" w:type="dxa"/>
            <w:vMerge/>
            <w:tcBorders>
              <w:top w:val="nil"/>
              <w:left w:val="single" w:sz="4" w:space="0" w:color="auto"/>
              <w:bottom w:val="single" w:sz="4" w:space="0" w:color="000000"/>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 xml:space="preserve">microtitulação : 1, Método: Hemaglutinação Indireta (HAI).Finalidade: Determinação </w:t>
            </w:r>
          </w:p>
        </w:tc>
        <w:tc>
          <w:tcPr>
            <w:tcW w:w="1434"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00"/>
        </w:trPr>
        <w:tc>
          <w:tcPr>
            <w:tcW w:w="858" w:type="dxa"/>
            <w:vMerge/>
            <w:tcBorders>
              <w:top w:val="nil"/>
              <w:left w:val="single" w:sz="4" w:space="0" w:color="auto"/>
              <w:bottom w:val="single" w:sz="4" w:space="0" w:color="000000"/>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 xml:space="preserve">qualitativa e semi-quantitativa de anticorpos anti-Trypanosoma cruzi. Amostra: Soro. </w:t>
            </w:r>
          </w:p>
        </w:tc>
        <w:tc>
          <w:tcPr>
            <w:tcW w:w="1434"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00"/>
        </w:trPr>
        <w:tc>
          <w:tcPr>
            <w:tcW w:w="858" w:type="dxa"/>
            <w:vMerge/>
            <w:tcBorders>
              <w:top w:val="nil"/>
              <w:left w:val="single" w:sz="4" w:space="0" w:color="auto"/>
              <w:bottom w:val="single" w:sz="4" w:space="0" w:color="000000"/>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single" w:sz="4" w:space="0" w:color="auto"/>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Estabilidade do Reagente: Até a data de validade do kit. Com 96 testes.</w:t>
            </w:r>
          </w:p>
        </w:tc>
        <w:tc>
          <w:tcPr>
            <w:tcW w:w="1434"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00"/>
        </w:trPr>
        <w:tc>
          <w:tcPr>
            <w:tcW w:w="858" w:type="dxa"/>
            <w:vMerge w:val="restart"/>
            <w:tcBorders>
              <w:top w:val="nil"/>
              <w:left w:val="single" w:sz="4" w:space="0" w:color="auto"/>
              <w:bottom w:val="nil"/>
              <w:right w:val="nil"/>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Kit de Toxo HAI contendo: Suspensão de Hemácias : 2,4 mL, Diluente : 40 mL,</w:t>
            </w:r>
          </w:p>
        </w:tc>
        <w:tc>
          <w:tcPr>
            <w:tcW w:w="1434" w:type="dxa"/>
            <w:vMerge w:val="restart"/>
            <w:tcBorders>
              <w:top w:val="nil"/>
              <w:left w:val="single" w:sz="4" w:space="0" w:color="auto"/>
              <w:bottom w:val="nil"/>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Caixa</w:t>
            </w:r>
          </w:p>
        </w:tc>
        <w:tc>
          <w:tcPr>
            <w:tcW w:w="1843" w:type="dxa"/>
            <w:vMerge w:val="restart"/>
            <w:tcBorders>
              <w:top w:val="nil"/>
              <w:left w:val="single" w:sz="4" w:space="0" w:color="auto"/>
              <w:bottom w:val="nil"/>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50</w:t>
            </w:r>
          </w:p>
        </w:tc>
      </w:tr>
      <w:tr w:rsidR="00997A59" w:rsidRPr="00997A59" w:rsidTr="00C60AED">
        <w:trPr>
          <w:trHeight w:val="300"/>
        </w:trPr>
        <w:tc>
          <w:tcPr>
            <w:tcW w:w="858" w:type="dxa"/>
            <w:vMerge/>
            <w:tcBorders>
              <w:top w:val="nil"/>
              <w:left w:val="single" w:sz="4" w:space="0" w:color="auto"/>
              <w:bottom w:val="nil"/>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single" w:sz="4" w:space="0" w:color="000000"/>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 xml:space="preserve">2-Mercaptoetanol : 0,5 mL, Controle Positivo : 1 mL, </w:t>
            </w:r>
            <w:r w:rsidRPr="00C60AED">
              <w:rPr>
                <w:rFonts w:ascii="Century Gothic" w:hAnsi="Century Gothic" w:cs="Arial"/>
                <w:sz w:val="24"/>
                <w:szCs w:val="24"/>
              </w:rPr>
              <w:lastRenderedPageBreak/>
              <w:t xml:space="preserve">Controle Negativo : 1 mL, Placa de </w:t>
            </w:r>
          </w:p>
        </w:tc>
        <w:tc>
          <w:tcPr>
            <w:tcW w:w="1434" w:type="dxa"/>
            <w:vMerge/>
            <w:tcBorders>
              <w:top w:val="nil"/>
              <w:left w:val="single" w:sz="4" w:space="0" w:color="auto"/>
              <w:bottom w:val="nil"/>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nil"/>
              <w:left w:val="single" w:sz="4" w:space="0" w:color="auto"/>
              <w:bottom w:val="nil"/>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00"/>
        </w:trPr>
        <w:tc>
          <w:tcPr>
            <w:tcW w:w="858" w:type="dxa"/>
            <w:vMerge/>
            <w:tcBorders>
              <w:top w:val="nil"/>
              <w:left w:val="single" w:sz="4" w:space="0" w:color="auto"/>
              <w:bottom w:val="nil"/>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 xml:space="preserve">microtitulação : 1, Método: Hemaglutinação Indireta (HAI).Finalidade: Determinação </w:t>
            </w:r>
          </w:p>
        </w:tc>
        <w:tc>
          <w:tcPr>
            <w:tcW w:w="1434" w:type="dxa"/>
            <w:vMerge/>
            <w:tcBorders>
              <w:top w:val="nil"/>
              <w:left w:val="single" w:sz="4" w:space="0" w:color="auto"/>
              <w:bottom w:val="nil"/>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nil"/>
              <w:left w:val="single" w:sz="4" w:space="0" w:color="auto"/>
              <w:bottom w:val="nil"/>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00"/>
        </w:trPr>
        <w:tc>
          <w:tcPr>
            <w:tcW w:w="858" w:type="dxa"/>
            <w:vMerge/>
            <w:tcBorders>
              <w:top w:val="nil"/>
              <w:left w:val="single" w:sz="4" w:space="0" w:color="auto"/>
              <w:bottom w:val="nil"/>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qualitativa e semi-quantitativa de anticorpos anti-Toxoplasma gondii no soro.</w:t>
            </w:r>
          </w:p>
        </w:tc>
        <w:tc>
          <w:tcPr>
            <w:tcW w:w="1434" w:type="dxa"/>
            <w:vMerge/>
            <w:tcBorders>
              <w:top w:val="nil"/>
              <w:left w:val="single" w:sz="4" w:space="0" w:color="auto"/>
              <w:bottom w:val="nil"/>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nil"/>
              <w:left w:val="single" w:sz="4" w:space="0" w:color="auto"/>
              <w:bottom w:val="nil"/>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00"/>
        </w:trPr>
        <w:tc>
          <w:tcPr>
            <w:tcW w:w="858" w:type="dxa"/>
            <w:vMerge/>
            <w:tcBorders>
              <w:top w:val="nil"/>
              <w:left w:val="single" w:sz="4" w:space="0" w:color="auto"/>
              <w:bottom w:val="nil"/>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Estabilidade do Reagente: Até a data de validade do kit. Com 96 testes.</w:t>
            </w:r>
          </w:p>
        </w:tc>
        <w:tc>
          <w:tcPr>
            <w:tcW w:w="1434" w:type="dxa"/>
            <w:vMerge/>
            <w:tcBorders>
              <w:top w:val="nil"/>
              <w:left w:val="single" w:sz="4" w:space="0" w:color="auto"/>
              <w:bottom w:val="nil"/>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nil"/>
              <w:left w:val="single" w:sz="4" w:space="0" w:color="auto"/>
              <w:bottom w:val="nil"/>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00"/>
        </w:trPr>
        <w:tc>
          <w:tcPr>
            <w:tcW w:w="858" w:type="dxa"/>
            <w:vMerge w:val="restart"/>
            <w:tcBorders>
              <w:top w:val="single" w:sz="4" w:space="0" w:color="auto"/>
              <w:left w:val="single" w:sz="4" w:space="0" w:color="auto"/>
              <w:bottom w:val="nil"/>
              <w:right w:val="nil"/>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 xml:space="preserve">Kit para PSA - O PSA Test, é realizado em um única etapa para a detecção do antígeno  </w:t>
            </w:r>
          </w:p>
        </w:tc>
        <w:tc>
          <w:tcPr>
            <w:tcW w:w="1434"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Caixa</w:t>
            </w:r>
          </w:p>
        </w:tc>
        <w:tc>
          <w:tcPr>
            <w:tcW w:w="1843"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100</w:t>
            </w:r>
          </w:p>
        </w:tc>
      </w:tr>
      <w:tr w:rsidR="00997A59" w:rsidRPr="00997A59" w:rsidTr="00C60AED">
        <w:trPr>
          <w:trHeight w:val="300"/>
        </w:trPr>
        <w:tc>
          <w:tcPr>
            <w:tcW w:w="858" w:type="dxa"/>
            <w:vMerge/>
            <w:tcBorders>
              <w:top w:val="single" w:sz="4" w:space="0" w:color="auto"/>
              <w:left w:val="single" w:sz="4" w:space="0" w:color="auto"/>
              <w:bottom w:val="nil"/>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single" w:sz="4" w:space="0" w:color="000000"/>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 xml:space="preserve">prostático específico (PSA) em amostras de soro ou plasma. Fácil de usar, simples, </w:t>
            </w:r>
          </w:p>
        </w:tc>
        <w:tc>
          <w:tcPr>
            <w:tcW w:w="1434" w:type="dxa"/>
            <w:vMerge/>
            <w:tcBorders>
              <w:top w:val="single" w:sz="4" w:space="0" w:color="auto"/>
              <w:left w:val="single" w:sz="4" w:space="0" w:color="auto"/>
              <w:bottom w:val="nil"/>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single" w:sz="4" w:space="0" w:color="auto"/>
              <w:left w:val="single" w:sz="4" w:space="0" w:color="auto"/>
              <w:bottom w:val="nil"/>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00"/>
        </w:trPr>
        <w:tc>
          <w:tcPr>
            <w:tcW w:w="858" w:type="dxa"/>
            <w:vMerge/>
            <w:tcBorders>
              <w:top w:val="single" w:sz="4" w:space="0" w:color="auto"/>
              <w:left w:val="single" w:sz="4" w:space="0" w:color="auto"/>
              <w:bottom w:val="nil"/>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vAlign w:val="center"/>
            <w:hideMark/>
          </w:tcPr>
          <w:p w:rsidR="00997A59" w:rsidRPr="00C60AED" w:rsidRDefault="00997A59" w:rsidP="00C60AED">
            <w:pPr>
              <w:spacing w:after="240"/>
              <w:jc w:val="both"/>
              <w:rPr>
                <w:rFonts w:ascii="Century Gothic" w:hAnsi="Century Gothic" w:cs="Arial"/>
                <w:sz w:val="24"/>
                <w:szCs w:val="24"/>
              </w:rPr>
            </w:pPr>
            <w:r w:rsidRPr="00C60AED">
              <w:rPr>
                <w:rFonts w:ascii="Century Gothic" w:hAnsi="Century Gothic" w:cs="Arial"/>
                <w:sz w:val="24"/>
                <w:szCs w:val="24"/>
              </w:rPr>
              <w:t xml:space="preserve">apenas 1 etapa; Não necessita instrumentação, leitura visual dos resultados, fácil </w:t>
            </w:r>
          </w:p>
        </w:tc>
        <w:tc>
          <w:tcPr>
            <w:tcW w:w="1434" w:type="dxa"/>
            <w:vMerge/>
            <w:tcBorders>
              <w:top w:val="single" w:sz="4" w:space="0" w:color="auto"/>
              <w:left w:val="single" w:sz="4" w:space="0" w:color="auto"/>
              <w:bottom w:val="nil"/>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single" w:sz="4" w:space="0" w:color="auto"/>
              <w:left w:val="single" w:sz="4" w:space="0" w:color="auto"/>
              <w:bottom w:val="nil"/>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00"/>
        </w:trPr>
        <w:tc>
          <w:tcPr>
            <w:tcW w:w="858" w:type="dxa"/>
            <w:vMerge/>
            <w:tcBorders>
              <w:top w:val="single" w:sz="4" w:space="0" w:color="auto"/>
              <w:left w:val="single" w:sz="4" w:space="0" w:color="auto"/>
              <w:bottom w:val="nil"/>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interpretação. Resultado em 5 minutos; Kit completo para execução do teste;</w:t>
            </w:r>
          </w:p>
        </w:tc>
        <w:tc>
          <w:tcPr>
            <w:tcW w:w="1434" w:type="dxa"/>
            <w:vMerge/>
            <w:tcBorders>
              <w:top w:val="single" w:sz="4" w:space="0" w:color="auto"/>
              <w:left w:val="single" w:sz="4" w:space="0" w:color="auto"/>
              <w:bottom w:val="nil"/>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single" w:sz="4" w:space="0" w:color="auto"/>
              <w:left w:val="single" w:sz="4" w:space="0" w:color="auto"/>
              <w:bottom w:val="nil"/>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00"/>
        </w:trPr>
        <w:tc>
          <w:tcPr>
            <w:tcW w:w="858" w:type="dxa"/>
            <w:vMerge/>
            <w:tcBorders>
              <w:top w:val="single" w:sz="4" w:space="0" w:color="auto"/>
              <w:left w:val="single" w:sz="4" w:space="0" w:color="auto"/>
              <w:bottom w:val="nil"/>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Armazenamento: temperatura ambiente. Sensib. /Especif 99%. Com 25 tiras.</w:t>
            </w:r>
          </w:p>
        </w:tc>
        <w:tc>
          <w:tcPr>
            <w:tcW w:w="1434" w:type="dxa"/>
            <w:vMerge/>
            <w:tcBorders>
              <w:top w:val="single" w:sz="4" w:space="0" w:color="auto"/>
              <w:left w:val="single" w:sz="4" w:space="0" w:color="auto"/>
              <w:bottom w:val="nil"/>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single" w:sz="4" w:space="0" w:color="auto"/>
              <w:left w:val="single" w:sz="4" w:space="0" w:color="auto"/>
              <w:bottom w:val="nil"/>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00"/>
        </w:trPr>
        <w:tc>
          <w:tcPr>
            <w:tcW w:w="858" w:type="dxa"/>
            <w:vMerge w:val="restart"/>
            <w:tcBorders>
              <w:top w:val="single" w:sz="4" w:space="0" w:color="auto"/>
              <w:left w:val="single" w:sz="4" w:space="0" w:color="auto"/>
              <w:bottom w:val="nil"/>
              <w:right w:val="nil"/>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 xml:space="preserve">Kit de Cálcio para 100 determinações de cálcio, contendo: 1)-Tampão: 1 frasco de 100ml </w:t>
            </w:r>
          </w:p>
        </w:tc>
        <w:tc>
          <w:tcPr>
            <w:tcW w:w="1434"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Caixa</w:t>
            </w:r>
          </w:p>
        </w:tc>
        <w:tc>
          <w:tcPr>
            <w:tcW w:w="1843"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5</w:t>
            </w:r>
          </w:p>
        </w:tc>
      </w:tr>
      <w:tr w:rsidR="00997A59" w:rsidRPr="00997A59" w:rsidTr="00C60AED">
        <w:trPr>
          <w:trHeight w:val="300"/>
        </w:trPr>
        <w:tc>
          <w:tcPr>
            <w:tcW w:w="858" w:type="dxa"/>
            <w:vMerge/>
            <w:tcBorders>
              <w:top w:val="single" w:sz="4" w:space="0" w:color="auto"/>
              <w:left w:val="single" w:sz="4" w:space="0" w:color="auto"/>
              <w:bottom w:val="nil"/>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de solução tamponada em pH 9,8, contendo cianeto de potássio7,7mmol/L. Conservar</w:t>
            </w:r>
          </w:p>
        </w:tc>
        <w:tc>
          <w:tcPr>
            <w:tcW w:w="1434" w:type="dxa"/>
            <w:vMerge/>
            <w:tcBorders>
              <w:top w:val="single" w:sz="4" w:space="0" w:color="auto"/>
              <w:left w:val="single" w:sz="4" w:space="0" w:color="auto"/>
              <w:bottom w:val="nil"/>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single" w:sz="4" w:space="0" w:color="auto"/>
              <w:left w:val="single" w:sz="4" w:space="0" w:color="auto"/>
              <w:bottom w:val="nil"/>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00"/>
        </w:trPr>
        <w:tc>
          <w:tcPr>
            <w:tcW w:w="858" w:type="dxa"/>
            <w:vMerge/>
            <w:tcBorders>
              <w:top w:val="single" w:sz="4" w:space="0" w:color="auto"/>
              <w:left w:val="single" w:sz="4" w:space="0" w:color="auto"/>
              <w:bottom w:val="nil"/>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entre 15 e 25°C. 2)- Reagente de cor: 1 frasco de 100ml de solução, contendo cresolfta-</w:t>
            </w:r>
          </w:p>
        </w:tc>
        <w:tc>
          <w:tcPr>
            <w:tcW w:w="1434" w:type="dxa"/>
            <w:vMerge/>
            <w:tcBorders>
              <w:top w:val="single" w:sz="4" w:space="0" w:color="auto"/>
              <w:left w:val="single" w:sz="4" w:space="0" w:color="auto"/>
              <w:bottom w:val="nil"/>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single" w:sz="4" w:space="0" w:color="auto"/>
              <w:left w:val="single" w:sz="4" w:space="0" w:color="auto"/>
              <w:bottom w:val="nil"/>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00"/>
        </w:trPr>
        <w:tc>
          <w:tcPr>
            <w:tcW w:w="858" w:type="dxa"/>
            <w:vMerge/>
            <w:tcBorders>
              <w:top w:val="single" w:sz="4" w:space="0" w:color="auto"/>
              <w:left w:val="single" w:sz="4" w:space="0" w:color="auto"/>
              <w:bottom w:val="nil"/>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leina complexona 0.1mmol/L e 8-hidroxiquinoleina 35mmol/L. Conservar entre 15 e 25ºC.</w:t>
            </w:r>
          </w:p>
        </w:tc>
        <w:tc>
          <w:tcPr>
            <w:tcW w:w="1434" w:type="dxa"/>
            <w:vMerge/>
            <w:tcBorders>
              <w:top w:val="single" w:sz="4" w:space="0" w:color="auto"/>
              <w:left w:val="single" w:sz="4" w:space="0" w:color="auto"/>
              <w:bottom w:val="nil"/>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single" w:sz="4" w:space="0" w:color="auto"/>
              <w:left w:val="single" w:sz="4" w:space="0" w:color="auto"/>
              <w:bottom w:val="nil"/>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00"/>
        </w:trPr>
        <w:tc>
          <w:tcPr>
            <w:tcW w:w="858" w:type="dxa"/>
            <w:vMerge/>
            <w:tcBorders>
              <w:top w:val="single" w:sz="4" w:space="0" w:color="auto"/>
              <w:left w:val="single" w:sz="4" w:space="0" w:color="auto"/>
              <w:bottom w:val="nil"/>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3)-Padrão: 1 frasco de 3ml de solução aquosa de íons de cálcio10mg/dl, corresponden-</w:t>
            </w:r>
          </w:p>
        </w:tc>
        <w:tc>
          <w:tcPr>
            <w:tcW w:w="1434" w:type="dxa"/>
            <w:vMerge/>
            <w:tcBorders>
              <w:top w:val="single" w:sz="4" w:space="0" w:color="auto"/>
              <w:left w:val="single" w:sz="4" w:space="0" w:color="auto"/>
              <w:bottom w:val="nil"/>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single" w:sz="4" w:space="0" w:color="auto"/>
              <w:left w:val="single" w:sz="4" w:space="0" w:color="auto"/>
              <w:bottom w:val="nil"/>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00"/>
        </w:trPr>
        <w:tc>
          <w:tcPr>
            <w:tcW w:w="858" w:type="dxa"/>
            <w:vMerge/>
            <w:tcBorders>
              <w:top w:val="single" w:sz="4" w:space="0" w:color="auto"/>
              <w:left w:val="single" w:sz="4" w:space="0" w:color="auto"/>
              <w:bottom w:val="nil"/>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do a 2,5 mmol/L. Conservar entre 15 e 15ºC.</w:t>
            </w:r>
          </w:p>
        </w:tc>
        <w:tc>
          <w:tcPr>
            <w:tcW w:w="1434" w:type="dxa"/>
            <w:vMerge/>
            <w:tcBorders>
              <w:top w:val="single" w:sz="4" w:space="0" w:color="auto"/>
              <w:left w:val="single" w:sz="4" w:space="0" w:color="auto"/>
              <w:bottom w:val="nil"/>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single" w:sz="4" w:space="0" w:color="auto"/>
              <w:left w:val="single" w:sz="4" w:space="0" w:color="auto"/>
              <w:bottom w:val="nil"/>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00"/>
        </w:trPr>
        <w:tc>
          <w:tcPr>
            <w:tcW w:w="858"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 xml:space="preserve">Kit de Fósforo para 200 determinações, contendo: 1)-Reagente Molibdato: 2 frascos de </w:t>
            </w:r>
          </w:p>
        </w:tc>
        <w:tc>
          <w:tcPr>
            <w:tcW w:w="14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Caixa</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5</w:t>
            </w:r>
          </w:p>
        </w:tc>
      </w:tr>
      <w:tr w:rsidR="00997A59" w:rsidRPr="00997A59" w:rsidTr="00C60AED">
        <w:trPr>
          <w:trHeight w:val="300"/>
        </w:trPr>
        <w:tc>
          <w:tcPr>
            <w:tcW w:w="858" w:type="dxa"/>
            <w:vMerge/>
            <w:tcBorders>
              <w:top w:val="single" w:sz="4" w:space="0" w:color="auto"/>
              <w:left w:val="single" w:sz="4" w:space="0" w:color="auto"/>
              <w:bottom w:val="single" w:sz="4" w:space="0" w:color="000000"/>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100 ml cada, de solução aquosa contendo molibdato de amônio 1mmol/L e ácido sulfú-</w:t>
            </w:r>
          </w:p>
        </w:tc>
        <w:tc>
          <w:tcPr>
            <w:tcW w:w="1434" w:type="dxa"/>
            <w:vMerge/>
            <w:tcBorders>
              <w:top w:val="single" w:sz="4" w:space="0" w:color="auto"/>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00"/>
        </w:trPr>
        <w:tc>
          <w:tcPr>
            <w:tcW w:w="858" w:type="dxa"/>
            <w:vMerge/>
            <w:tcBorders>
              <w:top w:val="single" w:sz="4" w:space="0" w:color="auto"/>
              <w:left w:val="single" w:sz="4" w:space="0" w:color="auto"/>
              <w:bottom w:val="single" w:sz="4" w:space="0" w:color="000000"/>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rico 400 mmol/L. 2)- Padrão: 1 frasco com 5,0 ml de solução aquosa  fósforo inorgânico</w:t>
            </w:r>
          </w:p>
        </w:tc>
        <w:tc>
          <w:tcPr>
            <w:tcW w:w="1434" w:type="dxa"/>
            <w:vMerge/>
            <w:tcBorders>
              <w:top w:val="single" w:sz="4" w:space="0" w:color="auto"/>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00"/>
        </w:trPr>
        <w:tc>
          <w:tcPr>
            <w:tcW w:w="858" w:type="dxa"/>
            <w:vMerge/>
            <w:tcBorders>
              <w:top w:val="single" w:sz="4" w:space="0" w:color="auto"/>
              <w:left w:val="single" w:sz="4" w:space="0" w:color="auto"/>
              <w:bottom w:val="single" w:sz="4" w:space="0" w:color="000000"/>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single" w:sz="4" w:space="0" w:color="auto"/>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5,0 mg/dl e azida sódica0,1g/dl.</w:t>
            </w:r>
          </w:p>
        </w:tc>
        <w:tc>
          <w:tcPr>
            <w:tcW w:w="1434" w:type="dxa"/>
            <w:vMerge/>
            <w:tcBorders>
              <w:top w:val="single" w:sz="4" w:space="0" w:color="auto"/>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00"/>
        </w:trPr>
        <w:tc>
          <w:tcPr>
            <w:tcW w:w="858" w:type="dxa"/>
            <w:vMerge w:val="restart"/>
            <w:tcBorders>
              <w:top w:val="nil"/>
              <w:left w:val="single" w:sz="4" w:space="0" w:color="auto"/>
              <w:bottom w:val="nil"/>
              <w:right w:val="nil"/>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 xml:space="preserve">Kit de Magnésio - Conjunto para 100 determinações, contendo: 1)-Reagente de cor: 2 </w:t>
            </w:r>
          </w:p>
        </w:tc>
        <w:tc>
          <w:tcPr>
            <w:tcW w:w="1434" w:type="dxa"/>
            <w:vMerge w:val="restart"/>
            <w:tcBorders>
              <w:top w:val="nil"/>
              <w:left w:val="single" w:sz="4" w:space="0" w:color="auto"/>
              <w:bottom w:val="nil"/>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Caixa</w:t>
            </w:r>
          </w:p>
        </w:tc>
        <w:tc>
          <w:tcPr>
            <w:tcW w:w="1843" w:type="dxa"/>
            <w:vMerge w:val="restart"/>
            <w:tcBorders>
              <w:top w:val="nil"/>
              <w:left w:val="single" w:sz="4" w:space="0" w:color="auto"/>
              <w:bottom w:val="nil"/>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5</w:t>
            </w:r>
          </w:p>
        </w:tc>
      </w:tr>
      <w:tr w:rsidR="00997A59" w:rsidRPr="00997A59" w:rsidTr="00C60AED">
        <w:trPr>
          <w:trHeight w:val="300"/>
        </w:trPr>
        <w:tc>
          <w:tcPr>
            <w:tcW w:w="858" w:type="dxa"/>
            <w:vMerge/>
            <w:tcBorders>
              <w:top w:val="nil"/>
              <w:left w:val="single" w:sz="4" w:space="0" w:color="auto"/>
              <w:bottom w:val="nil"/>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 xml:space="preserve">frascos de 100ml cada, de solução aquosa tamponada de pH 11,5 contendo carbonato </w:t>
            </w:r>
          </w:p>
        </w:tc>
        <w:tc>
          <w:tcPr>
            <w:tcW w:w="1434" w:type="dxa"/>
            <w:vMerge/>
            <w:tcBorders>
              <w:top w:val="nil"/>
              <w:left w:val="single" w:sz="4" w:space="0" w:color="auto"/>
              <w:bottom w:val="nil"/>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nil"/>
              <w:left w:val="single" w:sz="4" w:space="0" w:color="auto"/>
              <w:bottom w:val="nil"/>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00"/>
        </w:trPr>
        <w:tc>
          <w:tcPr>
            <w:tcW w:w="858" w:type="dxa"/>
            <w:vMerge/>
            <w:tcBorders>
              <w:top w:val="nil"/>
              <w:left w:val="single" w:sz="4" w:space="0" w:color="auto"/>
              <w:bottom w:val="nil"/>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de potássio 110 mmol/L , EGTA 4µmol/L, Magon sulfonado 0,1 mmol/L e azida sódica</w:t>
            </w:r>
          </w:p>
        </w:tc>
        <w:tc>
          <w:tcPr>
            <w:tcW w:w="1434" w:type="dxa"/>
            <w:vMerge/>
            <w:tcBorders>
              <w:top w:val="nil"/>
              <w:left w:val="single" w:sz="4" w:space="0" w:color="auto"/>
              <w:bottom w:val="nil"/>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nil"/>
              <w:left w:val="single" w:sz="4" w:space="0" w:color="auto"/>
              <w:bottom w:val="nil"/>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00"/>
        </w:trPr>
        <w:tc>
          <w:tcPr>
            <w:tcW w:w="858" w:type="dxa"/>
            <w:vMerge/>
            <w:tcBorders>
              <w:top w:val="nil"/>
              <w:left w:val="single" w:sz="4" w:space="0" w:color="auto"/>
              <w:bottom w:val="nil"/>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15,5 mmol/L. Conservar entre 15 e 25ºC. 2)- Padrão: 1 frasco com 3 ml de solução aquo-</w:t>
            </w:r>
          </w:p>
        </w:tc>
        <w:tc>
          <w:tcPr>
            <w:tcW w:w="1434" w:type="dxa"/>
            <w:vMerge/>
            <w:tcBorders>
              <w:top w:val="nil"/>
              <w:left w:val="single" w:sz="4" w:space="0" w:color="auto"/>
              <w:bottom w:val="nil"/>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nil"/>
              <w:left w:val="single" w:sz="4" w:space="0" w:color="auto"/>
              <w:bottom w:val="nil"/>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00"/>
        </w:trPr>
        <w:tc>
          <w:tcPr>
            <w:tcW w:w="858" w:type="dxa"/>
            <w:vMerge/>
            <w:tcBorders>
              <w:top w:val="nil"/>
              <w:left w:val="single" w:sz="4" w:space="0" w:color="auto"/>
              <w:bottom w:val="nil"/>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sa de íons magnésio2 mg/dl, correspondendo a 0,82 mmol/L. Conservar entre 15 e 25ºC.</w:t>
            </w:r>
          </w:p>
        </w:tc>
        <w:tc>
          <w:tcPr>
            <w:tcW w:w="1434" w:type="dxa"/>
            <w:vMerge/>
            <w:tcBorders>
              <w:top w:val="nil"/>
              <w:left w:val="single" w:sz="4" w:space="0" w:color="auto"/>
              <w:bottom w:val="nil"/>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nil"/>
              <w:left w:val="single" w:sz="4" w:space="0" w:color="auto"/>
              <w:bottom w:val="nil"/>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00"/>
        </w:trPr>
        <w:tc>
          <w:tcPr>
            <w:tcW w:w="858" w:type="dxa"/>
            <w:vMerge w:val="restart"/>
            <w:tcBorders>
              <w:top w:val="single" w:sz="4" w:space="0" w:color="auto"/>
              <w:left w:val="single" w:sz="4" w:space="0" w:color="auto"/>
              <w:bottom w:val="nil"/>
              <w:right w:val="nil"/>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Kit de Proteínas Totais para 200 determinações, contendo: 1)- Biureto-Estoque: 1 frasco</w:t>
            </w:r>
          </w:p>
        </w:tc>
        <w:tc>
          <w:tcPr>
            <w:tcW w:w="1434"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Caixa</w:t>
            </w:r>
          </w:p>
        </w:tc>
        <w:tc>
          <w:tcPr>
            <w:tcW w:w="1843"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5</w:t>
            </w:r>
          </w:p>
        </w:tc>
      </w:tr>
      <w:tr w:rsidR="00997A59" w:rsidRPr="00997A59" w:rsidTr="00C60AED">
        <w:trPr>
          <w:trHeight w:val="300"/>
        </w:trPr>
        <w:tc>
          <w:tcPr>
            <w:tcW w:w="858" w:type="dxa"/>
            <w:vMerge/>
            <w:tcBorders>
              <w:top w:val="single" w:sz="4" w:space="0" w:color="auto"/>
              <w:left w:val="single" w:sz="4" w:space="0" w:color="auto"/>
              <w:bottom w:val="nil"/>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 xml:space="preserve">com 50ml de solução contendo hidroxido de sódio 1860mmol/L, tartarato duplo de sódio </w:t>
            </w:r>
          </w:p>
        </w:tc>
        <w:tc>
          <w:tcPr>
            <w:tcW w:w="1434" w:type="dxa"/>
            <w:vMerge/>
            <w:tcBorders>
              <w:top w:val="single" w:sz="4" w:space="0" w:color="auto"/>
              <w:left w:val="single" w:sz="4" w:space="0" w:color="auto"/>
              <w:bottom w:val="nil"/>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single" w:sz="4" w:space="0" w:color="auto"/>
              <w:left w:val="single" w:sz="4" w:space="0" w:color="auto"/>
              <w:bottom w:val="nil"/>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00"/>
        </w:trPr>
        <w:tc>
          <w:tcPr>
            <w:tcW w:w="858" w:type="dxa"/>
            <w:vMerge/>
            <w:tcBorders>
              <w:top w:val="single" w:sz="4" w:space="0" w:color="auto"/>
              <w:left w:val="single" w:sz="4" w:space="0" w:color="auto"/>
              <w:bottom w:val="nil"/>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e potássio 320 mmol/L, sulfato de cobre 180 mmol/L e iodeto de potássio 300 mmol/L.</w:t>
            </w:r>
          </w:p>
        </w:tc>
        <w:tc>
          <w:tcPr>
            <w:tcW w:w="1434" w:type="dxa"/>
            <w:vMerge/>
            <w:tcBorders>
              <w:top w:val="single" w:sz="4" w:space="0" w:color="auto"/>
              <w:left w:val="single" w:sz="4" w:space="0" w:color="auto"/>
              <w:bottom w:val="nil"/>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single" w:sz="4" w:space="0" w:color="auto"/>
              <w:left w:val="single" w:sz="4" w:space="0" w:color="auto"/>
              <w:bottom w:val="nil"/>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00"/>
        </w:trPr>
        <w:tc>
          <w:tcPr>
            <w:tcW w:w="858" w:type="dxa"/>
            <w:vMerge/>
            <w:tcBorders>
              <w:top w:val="single" w:sz="4" w:space="0" w:color="auto"/>
              <w:left w:val="single" w:sz="4" w:space="0" w:color="auto"/>
              <w:bottom w:val="nil"/>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Conservar entre 15 e 25 ºC. 2)- Padrão: 1 frasco com 2,0 ml de solução aquosa de albumi-</w:t>
            </w:r>
          </w:p>
        </w:tc>
        <w:tc>
          <w:tcPr>
            <w:tcW w:w="1434" w:type="dxa"/>
            <w:vMerge/>
            <w:tcBorders>
              <w:top w:val="single" w:sz="4" w:space="0" w:color="auto"/>
              <w:left w:val="single" w:sz="4" w:space="0" w:color="auto"/>
              <w:bottom w:val="nil"/>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single" w:sz="4" w:space="0" w:color="auto"/>
              <w:left w:val="single" w:sz="4" w:space="0" w:color="auto"/>
              <w:bottom w:val="nil"/>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00"/>
        </w:trPr>
        <w:tc>
          <w:tcPr>
            <w:tcW w:w="858" w:type="dxa"/>
            <w:vMerge/>
            <w:tcBorders>
              <w:top w:val="single" w:sz="4" w:space="0" w:color="auto"/>
              <w:left w:val="single" w:sz="4" w:space="0" w:color="auto"/>
              <w:bottom w:val="nil"/>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na bovina 4,0 g/dL, contendo azida sódica 8,5 mmol/L. Conservar entre 15 e 25ºC.</w:t>
            </w:r>
          </w:p>
        </w:tc>
        <w:tc>
          <w:tcPr>
            <w:tcW w:w="1434" w:type="dxa"/>
            <w:vMerge/>
            <w:tcBorders>
              <w:top w:val="single" w:sz="4" w:space="0" w:color="auto"/>
              <w:left w:val="single" w:sz="4" w:space="0" w:color="auto"/>
              <w:bottom w:val="nil"/>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single" w:sz="4" w:space="0" w:color="auto"/>
              <w:left w:val="single" w:sz="4" w:space="0" w:color="auto"/>
              <w:bottom w:val="nil"/>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00"/>
        </w:trPr>
        <w:tc>
          <w:tcPr>
            <w:tcW w:w="858" w:type="dxa"/>
            <w:vMerge w:val="restart"/>
            <w:tcBorders>
              <w:top w:val="single" w:sz="4" w:space="0" w:color="auto"/>
              <w:left w:val="single" w:sz="4" w:space="0" w:color="auto"/>
              <w:bottom w:val="nil"/>
              <w:right w:val="nil"/>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 xml:space="preserve">Kit de Desidrogenase Láctica - Conjunto para 100 determinações (LDH), contendo: 1)- </w:t>
            </w:r>
          </w:p>
        </w:tc>
        <w:tc>
          <w:tcPr>
            <w:tcW w:w="1434"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Caixa</w:t>
            </w:r>
          </w:p>
        </w:tc>
        <w:tc>
          <w:tcPr>
            <w:tcW w:w="1843"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5</w:t>
            </w:r>
          </w:p>
        </w:tc>
      </w:tr>
      <w:tr w:rsidR="00997A59" w:rsidRPr="00997A59" w:rsidTr="00C60AED">
        <w:trPr>
          <w:trHeight w:val="300"/>
        </w:trPr>
        <w:tc>
          <w:tcPr>
            <w:tcW w:w="858" w:type="dxa"/>
            <w:vMerge/>
            <w:tcBorders>
              <w:top w:val="single" w:sz="4" w:space="0" w:color="auto"/>
              <w:left w:val="single" w:sz="4" w:space="0" w:color="auto"/>
              <w:bottom w:val="nil"/>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Tampão: 2 frascos com 50 ml cada, de solução tamponada em pH 7,5, contendo piruvato</w:t>
            </w:r>
          </w:p>
        </w:tc>
        <w:tc>
          <w:tcPr>
            <w:tcW w:w="1434" w:type="dxa"/>
            <w:vMerge/>
            <w:tcBorders>
              <w:top w:val="single" w:sz="4" w:space="0" w:color="auto"/>
              <w:left w:val="single" w:sz="4" w:space="0" w:color="auto"/>
              <w:bottom w:val="nil"/>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single" w:sz="4" w:space="0" w:color="auto"/>
              <w:left w:val="single" w:sz="4" w:space="0" w:color="auto"/>
              <w:bottom w:val="nil"/>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00"/>
        </w:trPr>
        <w:tc>
          <w:tcPr>
            <w:tcW w:w="858" w:type="dxa"/>
            <w:vMerge/>
            <w:tcBorders>
              <w:top w:val="single" w:sz="4" w:space="0" w:color="auto"/>
              <w:left w:val="single" w:sz="4" w:space="0" w:color="auto"/>
              <w:bottom w:val="nil"/>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de sódio 0,6 mmol/L e azida sódica 15,5 mmol/L. 2)- Coenzima: 1 frasco contendo NADH</w:t>
            </w:r>
          </w:p>
        </w:tc>
        <w:tc>
          <w:tcPr>
            <w:tcW w:w="1434" w:type="dxa"/>
            <w:vMerge/>
            <w:tcBorders>
              <w:top w:val="single" w:sz="4" w:space="0" w:color="auto"/>
              <w:left w:val="single" w:sz="4" w:space="0" w:color="auto"/>
              <w:bottom w:val="nil"/>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single" w:sz="4" w:space="0" w:color="auto"/>
              <w:left w:val="single" w:sz="4" w:space="0" w:color="auto"/>
              <w:bottom w:val="nil"/>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00"/>
        </w:trPr>
        <w:tc>
          <w:tcPr>
            <w:tcW w:w="858" w:type="dxa"/>
            <w:vMerge/>
            <w:tcBorders>
              <w:top w:val="single" w:sz="4" w:space="0" w:color="auto"/>
              <w:left w:val="single" w:sz="4" w:space="0" w:color="auto"/>
              <w:bottom w:val="nil"/>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2 em forma liofilizada na concentração de 25mmol/L após reconstituição.</w:t>
            </w:r>
          </w:p>
        </w:tc>
        <w:tc>
          <w:tcPr>
            <w:tcW w:w="1434" w:type="dxa"/>
            <w:vMerge/>
            <w:tcBorders>
              <w:top w:val="single" w:sz="4" w:space="0" w:color="auto"/>
              <w:left w:val="single" w:sz="4" w:space="0" w:color="auto"/>
              <w:bottom w:val="nil"/>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single" w:sz="4" w:space="0" w:color="auto"/>
              <w:left w:val="single" w:sz="4" w:space="0" w:color="auto"/>
              <w:bottom w:val="nil"/>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nil"/>
              <w:bottom w:val="single" w:sz="4" w:space="0" w:color="auto"/>
              <w:right w:val="single" w:sz="4" w:space="0" w:color="auto"/>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Kit CK BM cinético com 60 ml</w:t>
            </w:r>
          </w:p>
        </w:tc>
        <w:tc>
          <w:tcPr>
            <w:tcW w:w="1434" w:type="dxa"/>
            <w:tcBorders>
              <w:top w:val="single" w:sz="4" w:space="0" w:color="auto"/>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Caixa</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5</w:t>
            </w:r>
          </w:p>
        </w:tc>
      </w:tr>
      <w:tr w:rsidR="00997A59" w:rsidRPr="00997A59" w:rsidTr="00C60AED">
        <w:trPr>
          <w:trHeight w:val="30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nil"/>
              <w:bottom w:val="single" w:sz="4" w:space="0" w:color="auto"/>
              <w:right w:val="single" w:sz="4" w:space="0" w:color="auto"/>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Kit CK Total cinético com 60 ml</w:t>
            </w:r>
          </w:p>
        </w:tc>
        <w:tc>
          <w:tcPr>
            <w:tcW w:w="1434"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Caixa</w:t>
            </w:r>
          </w:p>
        </w:tc>
        <w:tc>
          <w:tcPr>
            <w:tcW w:w="1843"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5</w:t>
            </w:r>
          </w:p>
        </w:tc>
      </w:tr>
      <w:tr w:rsidR="00997A59" w:rsidRPr="00997A59" w:rsidTr="00C60AED">
        <w:trPr>
          <w:trHeight w:val="30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nil"/>
              <w:bottom w:val="single" w:sz="4" w:space="0" w:color="auto"/>
              <w:right w:val="single" w:sz="4" w:space="0" w:color="000000"/>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Kit para VDRL pronto para uso</w:t>
            </w:r>
          </w:p>
        </w:tc>
        <w:tc>
          <w:tcPr>
            <w:tcW w:w="1434"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Caixa</w:t>
            </w:r>
          </w:p>
        </w:tc>
        <w:tc>
          <w:tcPr>
            <w:tcW w:w="1843"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10</w:t>
            </w:r>
          </w:p>
        </w:tc>
      </w:tr>
      <w:tr w:rsidR="00997A59" w:rsidRPr="00997A59" w:rsidTr="00C60AED">
        <w:trPr>
          <w:trHeight w:val="315"/>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nil"/>
              <w:bottom w:val="single" w:sz="4" w:space="0" w:color="auto"/>
              <w:right w:val="single" w:sz="4" w:space="0" w:color="auto"/>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Lâmina de vidro 25 x 75 mm com 100 unidades</w:t>
            </w:r>
          </w:p>
        </w:tc>
        <w:tc>
          <w:tcPr>
            <w:tcW w:w="1434"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Caixa</w:t>
            </w:r>
          </w:p>
        </w:tc>
        <w:tc>
          <w:tcPr>
            <w:tcW w:w="1843"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10</w:t>
            </w:r>
          </w:p>
        </w:tc>
      </w:tr>
      <w:tr w:rsidR="00997A59" w:rsidRPr="00997A59" w:rsidTr="00C60AED">
        <w:trPr>
          <w:trHeight w:val="315"/>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nil"/>
              <w:bottom w:val="nil"/>
              <w:right w:val="single" w:sz="4" w:space="0" w:color="auto"/>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Lâmínulas 22 x 22 mm com 100 unidades</w:t>
            </w:r>
          </w:p>
        </w:tc>
        <w:tc>
          <w:tcPr>
            <w:tcW w:w="1434" w:type="dxa"/>
            <w:tcBorders>
              <w:top w:val="nil"/>
              <w:left w:val="nil"/>
              <w:bottom w:val="nil"/>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Caixa</w:t>
            </w:r>
          </w:p>
        </w:tc>
        <w:tc>
          <w:tcPr>
            <w:tcW w:w="1843" w:type="dxa"/>
            <w:tcBorders>
              <w:top w:val="nil"/>
              <w:left w:val="nil"/>
              <w:bottom w:val="nil"/>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30</w:t>
            </w:r>
          </w:p>
        </w:tc>
      </w:tr>
      <w:tr w:rsidR="00997A59" w:rsidRPr="00997A59" w:rsidTr="00C60AED">
        <w:trPr>
          <w:trHeight w:val="315"/>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nil"/>
              <w:bottom w:val="single" w:sz="4" w:space="0" w:color="auto"/>
              <w:right w:val="single" w:sz="4" w:space="0" w:color="auto"/>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Lâmpada halógena tipo jc de 6 v e 10 W</w:t>
            </w:r>
          </w:p>
        </w:tc>
        <w:tc>
          <w:tcPr>
            <w:tcW w:w="1434" w:type="dxa"/>
            <w:tcBorders>
              <w:top w:val="single" w:sz="4" w:space="0" w:color="auto"/>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Unidade</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6</w:t>
            </w:r>
          </w:p>
        </w:tc>
      </w:tr>
      <w:tr w:rsidR="00997A59" w:rsidRPr="00997A59" w:rsidTr="00C60AED">
        <w:trPr>
          <w:trHeight w:val="315"/>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nil"/>
              <w:bottom w:val="single" w:sz="4" w:space="0" w:color="auto"/>
              <w:right w:val="single" w:sz="4" w:space="0" w:color="auto"/>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Lâmina de vidro para esfregaço</w:t>
            </w:r>
          </w:p>
        </w:tc>
        <w:tc>
          <w:tcPr>
            <w:tcW w:w="1434"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Caixa</w:t>
            </w:r>
          </w:p>
        </w:tc>
        <w:tc>
          <w:tcPr>
            <w:tcW w:w="1843"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5</w:t>
            </w:r>
          </w:p>
        </w:tc>
      </w:tr>
      <w:tr w:rsidR="00997A59" w:rsidRPr="00997A59" w:rsidTr="00C60AED">
        <w:trPr>
          <w:trHeight w:val="315"/>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nil"/>
              <w:bottom w:val="single" w:sz="4" w:space="0" w:color="auto"/>
              <w:right w:val="single" w:sz="4" w:space="0" w:color="auto"/>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Lápis demográfico</w:t>
            </w:r>
          </w:p>
        </w:tc>
        <w:tc>
          <w:tcPr>
            <w:tcW w:w="1434"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Unidade</w:t>
            </w:r>
          </w:p>
        </w:tc>
        <w:tc>
          <w:tcPr>
            <w:tcW w:w="1843"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2</w:t>
            </w:r>
          </w:p>
        </w:tc>
      </w:tr>
      <w:tr w:rsidR="00997A59" w:rsidRPr="00997A59" w:rsidTr="00C60AED">
        <w:trPr>
          <w:trHeight w:val="315"/>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nil"/>
              <w:bottom w:val="single" w:sz="4" w:space="0" w:color="auto"/>
              <w:right w:val="single" w:sz="4" w:space="0" w:color="auto"/>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 xml:space="preserve">Lugol </w:t>
            </w:r>
          </w:p>
        </w:tc>
        <w:tc>
          <w:tcPr>
            <w:tcW w:w="1434"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Frasco</w:t>
            </w:r>
          </w:p>
        </w:tc>
        <w:tc>
          <w:tcPr>
            <w:tcW w:w="1843"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3</w:t>
            </w:r>
          </w:p>
        </w:tc>
      </w:tr>
      <w:tr w:rsidR="00997A59" w:rsidRPr="00997A59" w:rsidTr="00C60AED">
        <w:trPr>
          <w:trHeight w:val="315"/>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nil"/>
              <w:bottom w:val="single" w:sz="4" w:space="0" w:color="auto"/>
              <w:right w:val="single" w:sz="4" w:space="0" w:color="auto"/>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Micropipetador automático com dispensador de 10 microlitros</w:t>
            </w:r>
          </w:p>
        </w:tc>
        <w:tc>
          <w:tcPr>
            <w:tcW w:w="1434"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Unidade</w:t>
            </w:r>
          </w:p>
        </w:tc>
        <w:tc>
          <w:tcPr>
            <w:tcW w:w="1843"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2</w:t>
            </w:r>
          </w:p>
        </w:tc>
      </w:tr>
      <w:tr w:rsidR="00997A59" w:rsidRPr="00997A59" w:rsidTr="00C60AED">
        <w:trPr>
          <w:trHeight w:val="315"/>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nil"/>
              <w:bottom w:val="single" w:sz="4" w:space="0" w:color="auto"/>
              <w:right w:val="single" w:sz="4" w:space="0" w:color="auto"/>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Micropipetador automático com dispensador de 20 microlitros</w:t>
            </w:r>
          </w:p>
        </w:tc>
        <w:tc>
          <w:tcPr>
            <w:tcW w:w="1434"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Unidade</w:t>
            </w:r>
          </w:p>
        </w:tc>
        <w:tc>
          <w:tcPr>
            <w:tcW w:w="1843"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2</w:t>
            </w:r>
          </w:p>
        </w:tc>
      </w:tr>
      <w:tr w:rsidR="00997A59" w:rsidRPr="00997A59" w:rsidTr="00C60AED">
        <w:trPr>
          <w:trHeight w:val="315"/>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nil"/>
              <w:bottom w:val="single" w:sz="4" w:space="0" w:color="auto"/>
              <w:right w:val="single" w:sz="4" w:space="0" w:color="auto"/>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Micropipetador automático com dispensador de 50 microlitros</w:t>
            </w:r>
          </w:p>
        </w:tc>
        <w:tc>
          <w:tcPr>
            <w:tcW w:w="1434"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Unidade</w:t>
            </w:r>
          </w:p>
        </w:tc>
        <w:tc>
          <w:tcPr>
            <w:tcW w:w="1843"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2</w:t>
            </w:r>
          </w:p>
        </w:tc>
      </w:tr>
      <w:tr w:rsidR="00997A59" w:rsidRPr="00997A59" w:rsidTr="00C60AED">
        <w:trPr>
          <w:trHeight w:val="315"/>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nil"/>
              <w:bottom w:val="single" w:sz="4" w:space="0" w:color="auto"/>
              <w:right w:val="single" w:sz="4" w:space="0" w:color="auto"/>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Micropipetador automático com dispensador de 100 microlitros</w:t>
            </w:r>
          </w:p>
        </w:tc>
        <w:tc>
          <w:tcPr>
            <w:tcW w:w="1434"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Unidade</w:t>
            </w:r>
          </w:p>
        </w:tc>
        <w:tc>
          <w:tcPr>
            <w:tcW w:w="1843"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2</w:t>
            </w:r>
          </w:p>
        </w:tc>
      </w:tr>
      <w:tr w:rsidR="00997A59" w:rsidRPr="00997A59" w:rsidTr="00C60AED">
        <w:trPr>
          <w:trHeight w:val="315"/>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nil"/>
              <w:bottom w:val="single" w:sz="4" w:space="0" w:color="auto"/>
              <w:right w:val="single" w:sz="4" w:space="0" w:color="auto"/>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Micropipetador automático com dispensador de 200 microlitros</w:t>
            </w:r>
          </w:p>
        </w:tc>
        <w:tc>
          <w:tcPr>
            <w:tcW w:w="1434"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Unidade</w:t>
            </w:r>
          </w:p>
        </w:tc>
        <w:tc>
          <w:tcPr>
            <w:tcW w:w="1843"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2</w:t>
            </w:r>
          </w:p>
        </w:tc>
      </w:tr>
      <w:tr w:rsidR="00997A59" w:rsidRPr="00997A59" w:rsidTr="00C60AED">
        <w:trPr>
          <w:trHeight w:val="315"/>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nil"/>
              <w:bottom w:val="single" w:sz="4" w:space="0" w:color="auto"/>
              <w:right w:val="single" w:sz="4" w:space="0" w:color="auto"/>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Micropipetador  automático com dispensador de 1 ml</w:t>
            </w:r>
          </w:p>
        </w:tc>
        <w:tc>
          <w:tcPr>
            <w:tcW w:w="1434"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Unidade</w:t>
            </w:r>
          </w:p>
        </w:tc>
        <w:tc>
          <w:tcPr>
            <w:tcW w:w="1843"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2</w:t>
            </w:r>
          </w:p>
        </w:tc>
      </w:tr>
      <w:tr w:rsidR="00997A59" w:rsidRPr="00997A59" w:rsidTr="00C60AED">
        <w:trPr>
          <w:trHeight w:val="315"/>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nil"/>
              <w:bottom w:val="single" w:sz="4" w:space="0" w:color="auto"/>
              <w:right w:val="single" w:sz="4" w:space="0" w:color="auto"/>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Micropipetador automático com dispensador de 2 ml</w:t>
            </w:r>
          </w:p>
        </w:tc>
        <w:tc>
          <w:tcPr>
            <w:tcW w:w="1434"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Unidade</w:t>
            </w:r>
          </w:p>
        </w:tc>
        <w:tc>
          <w:tcPr>
            <w:tcW w:w="1843"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2</w:t>
            </w:r>
          </w:p>
        </w:tc>
      </w:tr>
      <w:tr w:rsidR="00997A59" w:rsidRPr="00997A59" w:rsidTr="00C60AED">
        <w:trPr>
          <w:trHeight w:val="315"/>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nil"/>
              <w:bottom w:val="single" w:sz="4" w:space="0" w:color="auto"/>
              <w:right w:val="single" w:sz="4" w:space="0" w:color="auto"/>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Micropipetador automático com dispensador de 500 microlitros</w:t>
            </w:r>
          </w:p>
        </w:tc>
        <w:tc>
          <w:tcPr>
            <w:tcW w:w="1434"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Unidade</w:t>
            </w:r>
          </w:p>
        </w:tc>
        <w:tc>
          <w:tcPr>
            <w:tcW w:w="1843"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2</w:t>
            </w:r>
          </w:p>
        </w:tc>
      </w:tr>
      <w:tr w:rsidR="00997A59" w:rsidRPr="00997A59" w:rsidTr="00C60AED">
        <w:trPr>
          <w:trHeight w:val="315"/>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Papel alumínio 30 metros</w:t>
            </w:r>
          </w:p>
        </w:tc>
        <w:tc>
          <w:tcPr>
            <w:tcW w:w="1434"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Unidade</w:t>
            </w:r>
          </w:p>
        </w:tc>
        <w:tc>
          <w:tcPr>
            <w:tcW w:w="1843"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24</w:t>
            </w:r>
          </w:p>
        </w:tc>
      </w:tr>
      <w:tr w:rsidR="00997A59" w:rsidRPr="00997A59" w:rsidTr="00C60AED">
        <w:trPr>
          <w:trHeight w:val="315"/>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nil"/>
              <w:bottom w:val="single" w:sz="4" w:space="0" w:color="auto"/>
              <w:right w:val="single" w:sz="4" w:space="0" w:color="000000"/>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Papel filtro para Mucoproteina</w:t>
            </w:r>
          </w:p>
        </w:tc>
        <w:tc>
          <w:tcPr>
            <w:tcW w:w="1434"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Caixa</w:t>
            </w:r>
          </w:p>
        </w:tc>
        <w:tc>
          <w:tcPr>
            <w:tcW w:w="1843"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12</w:t>
            </w:r>
          </w:p>
        </w:tc>
      </w:tr>
      <w:tr w:rsidR="00997A59" w:rsidRPr="00997A59" w:rsidTr="00C60AED">
        <w:trPr>
          <w:trHeight w:val="30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nil"/>
              <w:bottom w:val="single" w:sz="4" w:space="0" w:color="auto"/>
              <w:right w:val="single" w:sz="4" w:space="0" w:color="auto"/>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Papel termosensível 30x50 branco para analisador hematológico Mindray mod. BC 2300</w:t>
            </w:r>
          </w:p>
        </w:tc>
        <w:tc>
          <w:tcPr>
            <w:tcW w:w="1434"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Unidade</w:t>
            </w:r>
          </w:p>
        </w:tc>
        <w:tc>
          <w:tcPr>
            <w:tcW w:w="1843"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60</w:t>
            </w:r>
          </w:p>
        </w:tc>
      </w:tr>
      <w:tr w:rsidR="00997A59" w:rsidRPr="00997A59" w:rsidTr="00C60AED">
        <w:trPr>
          <w:trHeight w:val="315"/>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nil"/>
              <w:bottom w:val="single" w:sz="4" w:space="0" w:color="auto"/>
              <w:right w:val="single" w:sz="4" w:space="0" w:color="auto"/>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Pipeta para fezes - tamanho único</w:t>
            </w:r>
          </w:p>
        </w:tc>
        <w:tc>
          <w:tcPr>
            <w:tcW w:w="1434"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Unidade</w:t>
            </w:r>
          </w:p>
        </w:tc>
        <w:tc>
          <w:tcPr>
            <w:tcW w:w="1843"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500</w:t>
            </w:r>
          </w:p>
        </w:tc>
      </w:tr>
      <w:tr w:rsidR="00997A59" w:rsidRPr="00997A59" w:rsidTr="00C60AED">
        <w:trPr>
          <w:trHeight w:val="315"/>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nil"/>
              <w:bottom w:val="single" w:sz="4" w:space="0" w:color="auto"/>
              <w:right w:val="single" w:sz="4" w:space="0" w:color="auto"/>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Pipeta sorológica de 10 ml graduada a cada 1 ml</w:t>
            </w:r>
          </w:p>
        </w:tc>
        <w:tc>
          <w:tcPr>
            <w:tcW w:w="1434"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Unidade</w:t>
            </w:r>
          </w:p>
        </w:tc>
        <w:tc>
          <w:tcPr>
            <w:tcW w:w="1843"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20</w:t>
            </w:r>
          </w:p>
        </w:tc>
      </w:tr>
      <w:tr w:rsidR="00997A59" w:rsidRPr="00997A59" w:rsidTr="00C60AED">
        <w:trPr>
          <w:trHeight w:val="315"/>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Pipeta sorológica de 5 ml graduada a cada 1 ml</w:t>
            </w:r>
          </w:p>
        </w:tc>
        <w:tc>
          <w:tcPr>
            <w:tcW w:w="1434"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Unidade</w:t>
            </w:r>
          </w:p>
        </w:tc>
        <w:tc>
          <w:tcPr>
            <w:tcW w:w="1843"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30</w:t>
            </w:r>
          </w:p>
        </w:tc>
      </w:tr>
      <w:tr w:rsidR="00997A59" w:rsidRPr="00997A59" w:rsidTr="00C60AED">
        <w:trPr>
          <w:trHeight w:val="315"/>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nil"/>
              <w:bottom w:val="single" w:sz="4" w:space="0" w:color="auto"/>
              <w:right w:val="single" w:sz="4" w:space="0" w:color="auto"/>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Pipeta sorológica de 2 ml</w:t>
            </w:r>
          </w:p>
        </w:tc>
        <w:tc>
          <w:tcPr>
            <w:tcW w:w="1434"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Unidade</w:t>
            </w:r>
          </w:p>
        </w:tc>
        <w:tc>
          <w:tcPr>
            <w:tcW w:w="1843"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20</w:t>
            </w:r>
          </w:p>
        </w:tc>
      </w:tr>
      <w:tr w:rsidR="00997A59" w:rsidRPr="00997A59" w:rsidTr="00C60AED">
        <w:trPr>
          <w:trHeight w:val="315"/>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nil"/>
              <w:bottom w:val="single" w:sz="4" w:space="0" w:color="auto"/>
              <w:right w:val="single" w:sz="4" w:space="0" w:color="auto"/>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Pipeta sorológica de 1 ml</w:t>
            </w:r>
          </w:p>
        </w:tc>
        <w:tc>
          <w:tcPr>
            <w:tcW w:w="1434"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Unidade</w:t>
            </w:r>
          </w:p>
        </w:tc>
        <w:tc>
          <w:tcPr>
            <w:tcW w:w="1843"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20</w:t>
            </w:r>
          </w:p>
        </w:tc>
      </w:tr>
      <w:tr w:rsidR="00997A59" w:rsidRPr="00997A59" w:rsidTr="00C60AED">
        <w:trPr>
          <w:trHeight w:val="315"/>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nil"/>
              <w:bottom w:val="single" w:sz="4" w:space="0" w:color="auto"/>
              <w:right w:val="single" w:sz="4" w:space="0" w:color="auto"/>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Pipeta de vidro para VHS</w:t>
            </w:r>
          </w:p>
        </w:tc>
        <w:tc>
          <w:tcPr>
            <w:tcW w:w="1434"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Unidade</w:t>
            </w:r>
          </w:p>
        </w:tc>
        <w:tc>
          <w:tcPr>
            <w:tcW w:w="1843"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15</w:t>
            </w:r>
          </w:p>
        </w:tc>
      </w:tr>
      <w:tr w:rsidR="00997A59" w:rsidRPr="00997A59" w:rsidTr="00C60AED">
        <w:trPr>
          <w:trHeight w:val="315"/>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nil"/>
              <w:bottom w:val="single" w:sz="4" w:space="0" w:color="auto"/>
              <w:right w:val="single" w:sz="4" w:space="0" w:color="auto"/>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Pipetador para encaixar pipeta para VHS (adaptador-aspirador)</w:t>
            </w:r>
          </w:p>
        </w:tc>
        <w:tc>
          <w:tcPr>
            <w:tcW w:w="1434"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Unidade</w:t>
            </w:r>
          </w:p>
        </w:tc>
        <w:tc>
          <w:tcPr>
            <w:tcW w:w="1843"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2</w:t>
            </w:r>
          </w:p>
        </w:tc>
      </w:tr>
      <w:tr w:rsidR="00997A59" w:rsidRPr="00997A59" w:rsidTr="00C60AED">
        <w:trPr>
          <w:trHeight w:val="315"/>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nil"/>
              <w:bottom w:val="single" w:sz="4" w:space="0" w:color="auto"/>
              <w:right w:val="single" w:sz="4" w:space="0" w:color="auto"/>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Placa escavada para VDRL</w:t>
            </w:r>
          </w:p>
        </w:tc>
        <w:tc>
          <w:tcPr>
            <w:tcW w:w="1434"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Unidade</w:t>
            </w:r>
          </w:p>
        </w:tc>
        <w:tc>
          <w:tcPr>
            <w:tcW w:w="1843"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100</w:t>
            </w:r>
          </w:p>
        </w:tc>
      </w:tr>
      <w:tr w:rsidR="00997A59" w:rsidRPr="00997A59" w:rsidTr="00C60AED">
        <w:trPr>
          <w:trHeight w:val="315"/>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nil"/>
              <w:bottom w:val="single" w:sz="4" w:space="0" w:color="auto"/>
              <w:right w:val="single" w:sz="4" w:space="0" w:color="auto"/>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Placa de petri</w:t>
            </w:r>
          </w:p>
        </w:tc>
        <w:tc>
          <w:tcPr>
            <w:tcW w:w="1434"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Unidade</w:t>
            </w:r>
          </w:p>
        </w:tc>
        <w:tc>
          <w:tcPr>
            <w:tcW w:w="1843"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5</w:t>
            </w:r>
          </w:p>
        </w:tc>
      </w:tr>
      <w:tr w:rsidR="00997A59" w:rsidRPr="00997A59" w:rsidTr="00C60AED">
        <w:trPr>
          <w:trHeight w:val="315"/>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nil"/>
              <w:bottom w:val="single" w:sz="4" w:space="0" w:color="auto"/>
              <w:right w:val="single" w:sz="4" w:space="0" w:color="auto"/>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Ponteias plásticas de 500 ul a 1000ul de capacidade</w:t>
            </w:r>
          </w:p>
        </w:tc>
        <w:tc>
          <w:tcPr>
            <w:tcW w:w="1434"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Unidade</w:t>
            </w:r>
          </w:p>
        </w:tc>
        <w:tc>
          <w:tcPr>
            <w:tcW w:w="1843"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1.500</w:t>
            </w:r>
          </w:p>
        </w:tc>
      </w:tr>
      <w:tr w:rsidR="00997A59" w:rsidRPr="00997A59" w:rsidTr="00C60AED">
        <w:trPr>
          <w:trHeight w:val="30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nil"/>
              <w:bottom w:val="single" w:sz="4" w:space="0" w:color="auto"/>
              <w:right w:val="single" w:sz="4" w:space="0" w:color="auto"/>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Ponteias plásticas de 10 ul a 50ul de capacidade</w:t>
            </w:r>
          </w:p>
        </w:tc>
        <w:tc>
          <w:tcPr>
            <w:tcW w:w="1434"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Unidade</w:t>
            </w:r>
          </w:p>
        </w:tc>
        <w:tc>
          <w:tcPr>
            <w:tcW w:w="1843"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3.000</w:t>
            </w:r>
          </w:p>
        </w:tc>
      </w:tr>
      <w:tr w:rsidR="00997A59" w:rsidRPr="00997A59" w:rsidTr="00C60AED">
        <w:trPr>
          <w:trHeight w:val="315"/>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nil"/>
              <w:bottom w:val="single" w:sz="4" w:space="0" w:color="auto"/>
              <w:right w:val="single" w:sz="4" w:space="0" w:color="auto"/>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Ponteiras plásticas de 2 ml de capacidade</w:t>
            </w:r>
          </w:p>
        </w:tc>
        <w:tc>
          <w:tcPr>
            <w:tcW w:w="1434"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Unidade</w:t>
            </w:r>
          </w:p>
        </w:tc>
        <w:tc>
          <w:tcPr>
            <w:tcW w:w="1843"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20</w:t>
            </w:r>
          </w:p>
        </w:tc>
      </w:tr>
      <w:tr w:rsidR="00997A59" w:rsidRPr="00997A59" w:rsidTr="00C60AED">
        <w:trPr>
          <w:trHeight w:val="315"/>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nil"/>
              <w:bottom w:val="single" w:sz="4" w:space="0" w:color="auto"/>
              <w:right w:val="single" w:sz="4" w:space="0" w:color="000000"/>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Proveta de 100 ml</w:t>
            </w:r>
          </w:p>
        </w:tc>
        <w:tc>
          <w:tcPr>
            <w:tcW w:w="1434"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Unidade</w:t>
            </w:r>
          </w:p>
        </w:tc>
        <w:tc>
          <w:tcPr>
            <w:tcW w:w="1843"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3</w:t>
            </w:r>
          </w:p>
        </w:tc>
      </w:tr>
      <w:tr w:rsidR="00997A59" w:rsidRPr="00997A59" w:rsidTr="00C60AED">
        <w:trPr>
          <w:trHeight w:val="315"/>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nil"/>
              <w:bottom w:val="single" w:sz="4" w:space="0" w:color="auto"/>
              <w:right w:val="single" w:sz="4" w:space="0" w:color="000000"/>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Proveta de 500 ml</w:t>
            </w:r>
          </w:p>
        </w:tc>
        <w:tc>
          <w:tcPr>
            <w:tcW w:w="1434"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Unidade</w:t>
            </w:r>
          </w:p>
        </w:tc>
        <w:tc>
          <w:tcPr>
            <w:tcW w:w="1843"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2</w:t>
            </w:r>
          </w:p>
        </w:tc>
      </w:tr>
      <w:tr w:rsidR="00997A59" w:rsidRPr="00997A59" w:rsidTr="00C60AED">
        <w:trPr>
          <w:trHeight w:val="315"/>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nil"/>
              <w:bottom w:val="single" w:sz="4" w:space="0" w:color="auto"/>
              <w:right w:val="single" w:sz="4" w:space="0" w:color="auto"/>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Reativos para tipagem sanguínea anti-D</w:t>
            </w:r>
          </w:p>
        </w:tc>
        <w:tc>
          <w:tcPr>
            <w:tcW w:w="1434"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Unidade</w:t>
            </w:r>
          </w:p>
        </w:tc>
        <w:tc>
          <w:tcPr>
            <w:tcW w:w="1843"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10</w:t>
            </w:r>
          </w:p>
        </w:tc>
      </w:tr>
      <w:tr w:rsidR="00997A59" w:rsidRPr="00997A59" w:rsidTr="00C60AED">
        <w:trPr>
          <w:trHeight w:val="315"/>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nil"/>
              <w:bottom w:val="single" w:sz="4" w:space="0" w:color="auto"/>
              <w:right w:val="single" w:sz="4" w:space="0" w:color="auto"/>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Reativos para tipagem sanguínea anti-A</w:t>
            </w:r>
          </w:p>
        </w:tc>
        <w:tc>
          <w:tcPr>
            <w:tcW w:w="1434"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Unidade</w:t>
            </w:r>
          </w:p>
        </w:tc>
        <w:tc>
          <w:tcPr>
            <w:tcW w:w="1843"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10</w:t>
            </w:r>
          </w:p>
        </w:tc>
      </w:tr>
      <w:tr w:rsidR="00997A59" w:rsidRPr="00997A59" w:rsidTr="00C60AED">
        <w:trPr>
          <w:trHeight w:val="315"/>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nil"/>
              <w:bottom w:val="single" w:sz="4" w:space="0" w:color="auto"/>
              <w:right w:val="single" w:sz="4" w:space="0" w:color="auto"/>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Reativos para tipagem sanguínea anti-B</w:t>
            </w:r>
          </w:p>
        </w:tc>
        <w:tc>
          <w:tcPr>
            <w:tcW w:w="1434"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Unidade</w:t>
            </w:r>
          </w:p>
        </w:tc>
        <w:tc>
          <w:tcPr>
            <w:tcW w:w="1843"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10</w:t>
            </w:r>
          </w:p>
        </w:tc>
      </w:tr>
      <w:tr w:rsidR="00997A59" w:rsidRPr="00997A59" w:rsidTr="00C60AED">
        <w:trPr>
          <w:trHeight w:val="315"/>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nil"/>
              <w:bottom w:val="single" w:sz="4" w:space="0" w:color="auto"/>
              <w:right w:val="single" w:sz="4" w:space="0" w:color="000000"/>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Reativos para Coombs</w:t>
            </w:r>
          </w:p>
        </w:tc>
        <w:tc>
          <w:tcPr>
            <w:tcW w:w="1434"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Unidade</w:t>
            </w:r>
          </w:p>
        </w:tc>
        <w:tc>
          <w:tcPr>
            <w:tcW w:w="1843"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6</w:t>
            </w:r>
          </w:p>
        </w:tc>
      </w:tr>
      <w:tr w:rsidR="00997A59" w:rsidRPr="00997A59" w:rsidTr="00C60AED">
        <w:trPr>
          <w:trHeight w:val="315"/>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nil"/>
              <w:bottom w:val="single" w:sz="4" w:space="0" w:color="auto"/>
              <w:right w:val="single" w:sz="4" w:space="0" w:color="auto"/>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Reativos para PCR em látex sem diluição</w:t>
            </w:r>
          </w:p>
        </w:tc>
        <w:tc>
          <w:tcPr>
            <w:tcW w:w="1434"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Unidade</w:t>
            </w:r>
          </w:p>
        </w:tc>
        <w:tc>
          <w:tcPr>
            <w:tcW w:w="1843"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12</w:t>
            </w:r>
          </w:p>
        </w:tc>
      </w:tr>
      <w:tr w:rsidR="00997A59" w:rsidRPr="00997A59" w:rsidTr="00C60AED">
        <w:trPr>
          <w:trHeight w:val="315"/>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nil"/>
              <w:bottom w:val="single" w:sz="4" w:space="0" w:color="auto"/>
              <w:right w:val="single" w:sz="4" w:space="0" w:color="auto"/>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Reativos para látex fator reumatóide em látex sem diluição</w:t>
            </w:r>
          </w:p>
        </w:tc>
        <w:tc>
          <w:tcPr>
            <w:tcW w:w="1434"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Unidade</w:t>
            </w:r>
          </w:p>
        </w:tc>
        <w:tc>
          <w:tcPr>
            <w:tcW w:w="1843"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12</w:t>
            </w:r>
          </w:p>
        </w:tc>
      </w:tr>
      <w:tr w:rsidR="00997A59" w:rsidRPr="00997A59" w:rsidTr="00C60AED">
        <w:trPr>
          <w:trHeight w:val="30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nil"/>
              <w:bottom w:val="single" w:sz="4" w:space="0" w:color="auto"/>
              <w:right w:val="single" w:sz="4" w:space="0" w:color="auto"/>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Reativos para ASLO em látex sem diluição</w:t>
            </w:r>
          </w:p>
        </w:tc>
        <w:tc>
          <w:tcPr>
            <w:tcW w:w="1434"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Unidade</w:t>
            </w:r>
          </w:p>
        </w:tc>
        <w:tc>
          <w:tcPr>
            <w:tcW w:w="1843"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20</w:t>
            </w:r>
          </w:p>
        </w:tc>
      </w:tr>
      <w:tr w:rsidR="00997A59" w:rsidRPr="00997A59" w:rsidTr="00C60AED">
        <w:trPr>
          <w:trHeight w:val="315"/>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nil"/>
              <w:bottom w:val="single" w:sz="4" w:space="0" w:color="auto"/>
              <w:right w:val="single" w:sz="4" w:space="0" w:color="auto"/>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Relógio despertador com marcadores de tempo para diversas reações químicas simultâneas</w:t>
            </w:r>
          </w:p>
        </w:tc>
        <w:tc>
          <w:tcPr>
            <w:tcW w:w="1434"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Unidade</w:t>
            </w:r>
          </w:p>
        </w:tc>
        <w:tc>
          <w:tcPr>
            <w:tcW w:w="1843"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2</w:t>
            </w:r>
          </w:p>
        </w:tc>
      </w:tr>
      <w:tr w:rsidR="00997A59" w:rsidRPr="00997A59" w:rsidTr="00C60AED">
        <w:trPr>
          <w:trHeight w:val="315"/>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nil"/>
              <w:bottom w:val="single" w:sz="4" w:space="0" w:color="auto"/>
              <w:right w:val="single" w:sz="4" w:space="0" w:color="auto"/>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 xml:space="preserve">Saco plástico 10 x 28 gramatura 0, 15 </w:t>
            </w:r>
          </w:p>
        </w:tc>
        <w:tc>
          <w:tcPr>
            <w:tcW w:w="1434"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Unidade</w:t>
            </w:r>
          </w:p>
        </w:tc>
        <w:tc>
          <w:tcPr>
            <w:tcW w:w="1843"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10.000</w:t>
            </w:r>
          </w:p>
        </w:tc>
      </w:tr>
      <w:tr w:rsidR="00997A59" w:rsidRPr="00997A59" w:rsidTr="00C60AED">
        <w:trPr>
          <w:trHeight w:val="315"/>
        </w:trPr>
        <w:tc>
          <w:tcPr>
            <w:tcW w:w="85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nil"/>
              <w:bottom w:val="nil"/>
              <w:right w:val="single" w:sz="4" w:space="0" w:color="000000"/>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Solução diluente para determinação de hemoglobina, do volume celular, contagem de</w:t>
            </w:r>
          </w:p>
        </w:tc>
        <w:tc>
          <w:tcPr>
            <w:tcW w:w="14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Unidade</w:t>
            </w:r>
          </w:p>
        </w:tc>
        <w:tc>
          <w:tcPr>
            <w:tcW w:w="184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30</w:t>
            </w:r>
          </w:p>
        </w:tc>
      </w:tr>
      <w:tr w:rsidR="00997A59" w:rsidRPr="00997A59" w:rsidTr="00C60AED">
        <w:trPr>
          <w:trHeight w:val="315"/>
        </w:trPr>
        <w:tc>
          <w:tcPr>
            <w:tcW w:w="858"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nil"/>
              <w:bottom w:val="nil"/>
              <w:right w:val="single" w:sz="4" w:space="0" w:color="000000"/>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 xml:space="preserve">hemácias, plaquetas e leucócitos em aparelhos automáticos, para analisador hemato- </w:t>
            </w:r>
          </w:p>
        </w:tc>
        <w:tc>
          <w:tcPr>
            <w:tcW w:w="1434"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00"/>
        </w:trPr>
        <w:tc>
          <w:tcPr>
            <w:tcW w:w="858"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nil"/>
              <w:bottom w:val="single" w:sz="4" w:space="0" w:color="auto"/>
              <w:right w:val="single" w:sz="4" w:space="0" w:color="000000"/>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lógico Mindray mod. BC 2300.</w:t>
            </w:r>
          </w:p>
        </w:tc>
        <w:tc>
          <w:tcPr>
            <w:tcW w:w="1434"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00"/>
        </w:trPr>
        <w:tc>
          <w:tcPr>
            <w:tcW w:w="858" w:type="dxa"/>
            <w:vMerge w:val="restart"/>
            <w:tcBorders>
              <w:top w:val="nil"/>
              <w:left w:val="single" w:sz="4" w:space="0" w:color="auto"/>
              <w:bottom w:val="single" w:sz="4" w:space="0" w:color="000000"/>
              <w:right w:val="nil"/>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single" w:sz="4" w:space="0" w:color="auto"/>
              <w:bottom w:val="nil"/>
              <w:right w:val="single" w:sz="4" w:space="0" w:color="000000"/>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Solução hemolisante ultra-rápida para determinação da hemoglobina e contagem diferen-</w:t>
            </w:r>
          </w:p>
        </w:tc>
        <w:tc>
          <w:tcPr>
            <w:tcW w:w="1434" w:type="dxa"/>
            <w:vMerge w:val="restart"/>
            <w:tcBorders>
              <w:top w:val="nil"/>
              <w:left w:val="nil"/>
              <w:bottom w:val="single" w:sz="4" w:space="0" w:color="000000"/>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Unidade</w:t>
            </w:r>
          </w:p>
        </w:tc>
        <w:tc>
          <w:tcPr>
            <w:tcW w:w="184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12</w:t>
            </w:r>
          </w:p>
        </w:tc>
      </w:tr>
      <w:tr w:rsidR="00997A59" w:rsidRPr="00997A59" w:rsidTr="00C60AED">
        <w:trPr>
          <w:trHeight w:val="300"/>
        </w:trPr>
        <w:tc>
          <w:tcPr>
            <w:tcW w:w="858" w:type="dxa"/>
            <w:vMerge/>
            <w:tcBorders>
              <w:top w:val="nil"/>
              <w:left w:val="single" w:sz="4" w:space="0" w:color="auto"/>
              <w:bottom w:val="single" w:sz="4" w:space="0" w:color="000000"/>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nil"/>
              <w:right w:val="single" w:sz="4" w:space="0" w:color="000000"/>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 xml:space="preserve">cial de leucócitos em aparelhos automáticos, para analisador hematológico Mindray </w:t>
            </w:r>
          </w:p>
        </w:tc>
        <w:tc>
          <w:tcPr>
            <w:tcW w:w="1434" w:type="dxa"/>
            <w:vMerge/>
            <w:tcBorders>
              <w:top w:val="nil"/>
              <w:left w:val="nil"/>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15"/>
        </w:trPr>
        <w:tc>
          <w:tcPr>
            <w:tcW w:w="858" w:type="dxa"/>
            <w:vMerge/>
            <w:tcBorders>
              <w:top w:val="nil"/>
              <w:left w:val="single" w:sz="4" w:space="0" w:color="auto"/>
              <w:bottom w:val="single" w:sz="4" w:space="0" w:color="000000"/>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single" w:sz="4" w:space="0" w:color="auto"/>
              <w:right w:val="single" w:sz="4" w:space="0" w:color="000000"/>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mod. BC 2300.</w:t>
            </w:r>
          </w:p>
        </w:tc>
        <w:tc>
          <w:tcPr>
            <w:tcW w:w="1434" w:type="dxa"/>
            <w:vMerge/>
            <w:tcBorders>
              <w:top w:val="nil"/>
              <w:left w:val="nil"/>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0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nil"/>
              <w:bottom w:val="single" w:sz="4" w:space="0" w:color="auto"/>
              <w:right w:val="single" w:sz="4" w:space="0" w:color="auto"/>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Termômetro para estufa</w:t>
            </w:r>
          </w:p>
        </w:tc>
        <w:tc>
          <w:tcPr>
            <w:tcW w:w="1434"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Unidade</w:t>
            </w:r>
          </w:p>
        </w:tc>
        <w:tc>
          <w:tcPr>
            <w:tcW w:w="1843"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2</w:t>
            </w:r>
          </w:p>
        </w:tc>
      </w:tr>
      <w:tr w:rsidR="00997A59" w:rsidRPr="00997A59" w:rsidTr="00C60AED">
        <w:trPr>
          <w:trHeight w:val="315"/>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nil"/>
              <w:bottom w:val="single" w:sz="4" w:space="0" w:color="auto"/>
              <w:right w:val="single" w:sz="4" w:space="0" w:color="auto"/>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Teste Rápido deTroponina Imunocromatográfico com 50 testes</w:t>
            </w:r>
          </w:p>
        </w:tc>
        <w:tc>
          <w:tcPr>
            <w:tcW w:w="1434"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Caixa</w:t>
            </w:r>
          </w:p>
        </w:tc>
        <w:tc>
          <w:tcPr>
            <w:tcW w:w="1843"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5</w:t>
            </w:r>
          </w:p>
        </w:tc>
      </w:tr>
      <w:tr w:rsidR="00997A59" w:rsidRPr="00997A59" w:rsidTr="00C60AED">
        <w:trPr>
          <w:trHeight w:val="30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nil"/>
              <w:bottom w:val="single" w:sz="4" w:space="0" w:color="auto"/>
              <w:right w:val="single" w:sz="4" w:space="0" w:color="000000"/>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Tubos cônicos para uroanálise de 10 ml plástico</w:t>
            </w:r>
          </w:p>
        </w:tc>
        <w:tc>
          <w:tcPr>
            <w:tcW w:w="1434"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Unidade</w:t>
            </w:r>
          </w:p>
        </w:tc>
        <w:tc>
          <w:tcPr>
            <w:tcW w:w="1843"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2.000</w:t>
            </w:r>
          </w:p>
        </w:tc>
      </w:tr>
      <w:tr w:rsidR="00997A59" w:rsidRPr="00997A59" w:rsidTr="00C60AED">
        <w:trPr>
          <w:trHeight w:val="300"/>
        </w:trPr>
        <w:tc>
          <w:tcPr>
            <w:tcW w:w="85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nil"/>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 xml:space="preserve">Tubo criogênico não estéril de 1 ml, com tampa de rosca externa, sem anel de vedação, </w:t>
            </w:r>
          </w:p>
        </w:tc>
        <w:tc>
          <w:tcPr>
            <w:tcW w:w="14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Pacote</w:t>
            </w:r>
          </w:p>
        </w:tc>
        <w:tc>
          <w:tcPr>
            <w:tcW w:w="184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10</w:t>
            </w:r>
          </w:p>
        </w:tc>
      </w:tr>
      <w:tr w:rsidR="00997A59" w:rsidRPr="00997A59" w:rsidTr="00C60AED">
        <w:trPr>
          <w:trHeight w:val="300"/>
        </w:trPr>
        <w:tc>
          <w:tcPr>
            <w:tcW w:w="858"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nil"/>
              <w:bottom w:val="single" w:sz="4" w:space="0" w:color="auto"/>
              <w:right w:val="nil"/>
            </w:tcBorders>
            <w:shd w:val="clear" w:color="auto" w:fill="auto"/>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graduado e com embalagem de 500 unidades.</w:t>
            </w:r>
          </w:p>
        </w:tc>
        <w:tc>
          <w:tcPr>
            <w:tcW w:w="1434"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nil"/>
              <w:bottom w:val="single" w:sz="4" w:space="0" w:color="auto"/>
              <w:right w:val="single" w:sz="4" w:space="0" w:color="000000"/>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Tubos de ensaio plástico c/ tampa e etiqueta de 12 x 75 mm c/ 5 ml de capacidade</w:t>
            </w:r>
          </w:p>
        </w:tc>
        <w:tc>
          <w:tcPr>
            <w:tcW w:w="1434"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Unidade</w:t>
            </w:r>
          </w:p>
        </w:tc>
        <w:tc>
          <w:tcPr>
            <w:tcW w:w="1843"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5.000</w:t>
            </w:r>
          </w:p>
        </w:tc>
      </w:tr>
      <w:tr w:rsidR="00997A59" w:rsidRPr="00997A59" w:rsidTr="00C60AED">
        <w:trPr>
          <w:trHeight w:val="315"/>
        </w:trPr>
        <w:tc>
          <w:tcPr>
            <w:tcW w:w="858" w:type="dxa"/>
            <w:vMerge w:val="restart"/>
            <w:tcBorders>
              <w:top w:val="nil"/>
              <w:left w:val="single" w:sz="4" w:space="0" w:color="auto"/>
              <w:bottom w:val="single" w:sz="4" w:space="0" w:color="auto"/>
              <w:right w:val="nil"/>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 xml:space="preserve">Tubos à vácuo plástico estéril e descartável c/ tampa hemogard c/ fluoreto de sódio e EDTA, </w:t>
            </w:r>
          </w:p>
        </w:tc>
        <w:tc>
          <w:tcPr>
            <w:tcW w:w="14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Caixa</w:t>
            </w:r>
          </w:p>
        </w:tc>
        <w:tc>
          <w:tcPr>
            <w:tcW w:w="18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10</w:t>
            </w:r>
          </w:p>
        </w:tc>
      </w:tr>
      <w:tr w:rsidR="00997A59" w:rsidRPr="00997A59" w:rsidTr="00C60AED">
        <w:trPr>
          <w:trHeight w:val="315"/>
        </w:trPr>
        <w:tc>
          <w:tcPr>
            <w:tcW w:w="858" w:type="dxa"/>
            <w:vMerge/>
            <w:tcBorders>
              <w:top w:val="nil"/>
              <w:left w:val="single" w:sz="4" w:space="0" w:color="auto"/>
              <w:bottom w:val="single" w:sz="4" w:space="0" w:color="auto"/>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single" w:sz="4" w:space="0" w:color="auto"/>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rolha cinza de 5 ml.</w:t>
            </w:r>
          </w:p>
        </w:tc>
        <w:tc>
          <w:tcPr>
            <w:tcW w:w="1434" w:type="dxa"/>
            <w:vMerge/>
            <w:tcBorders>
              <w:top w:val="nil"/>
              <w:left w:val="single" w:sz="4" w:space="0" w:color="auto"/>
              <w:bottom w:val="single" w:sz="4" w:space="0" w:color="auto"/>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nil"/>
              <w:left w:val="single" w:sz="4" w:space="0" w:color="auto"/>
              <w:bottom w:val="single" w:sz="4" w:space="0" w:color="auto"/>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15"/>
        </w:trPr>
        <w:tc>
          <w:tcPr>
            <w:tcW w:w="858" w:type="dxa"/>
            <w:tcBorders>
              <w:top w:val="nil"/>
              <w:left w:val="single" w:sz="4" w:space="0" w:color="auto"/>
              <w:bottom w:val="single" w:sz="4" w:space="0" w:color="auto"/>
              <w:right w:val="nil"/>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Tubos à vácuo plástico estéril e descartável c/ tampa hemogard c/ EDTA, rolha roxa de 4 ml</w:t>
            </w:r>
          </w:p>
        </w:tc>
        <w:tc>
          <w:tcPr>
            <w:tcW w:w="1434" w:type="dxa"/>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Caixa</w:t>
            </w:r>
          </w:p>
        </w:tc>
        <w:tc>
          <w:tcPr>
            <w:tcW w:w="1843"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50</w:t>
            </w:r>
          </w:p>
        </w:tc>
      </w:tr>
      <w:tr w:rsidR="00997A59" w:rsidRPr="00997A59" w:rsidTr="00C60AED">
        <w:trPr>
          <w:trHeight w:val="315"/>
        </w:trPr>
        <w:tc>
          <w:tcPr>
            <w:tcW w:w="858" w:type="dxa"/>
            <w:vMerge w:val="restart"/>
            <w:tcBorders>
              <w:top w:val="nil"/>
              <w:left w:val="single" w:sz="4" w:space="0" w:color="auto"/>
              <w:bottom w:val="single" w:sz="4" w:space="0" w:color="auto"/>
              <w:right w:val="nil"/>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 xml:space="preserve">Tubos à vácuo plástico estéril e descartável c/ tampa hemogard siliconizado, seco e com </w:t>
            </w:r>
          </w:p>
        </w:tc>
        <w:tc>
          <w:tcPr>
            <w:tcW w:w="14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Caixa</w:t>
            </w:r>
          </w:p>
        </w:tc>
        <w:tc>
          <w:tcPr>
            <w:tcW w:w="184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20</w:t>
            </w:r>
          </w:p>
        </w:tc>
      </w:tr>
      <w:tr w:rsidR="00997A59" w:rsidRPr="00997A59" w:rsidTr="00C60AED">
        <w:trPr>
          <w:trHeight w:val="315"/>
        </w:trPr>
        <w:tc>
          <w:tcPr>
            <w:tcW w:w="858" w:type="dxa"/>
            <w:vMerge/>
            <w:tcBorders>
              <w:top w:val="nil"/>
              <w:left w:val="single" w:sz="4" w:space="0" w:color="auto"/>
              <w:bottom w:val="single" w:sz="4" w:space="0" w:color="auto"/>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single" w:sz="4" w:space="0" w:color="auto"/>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antivador de coagulo rolha vermelha de 8,5 ml.</w:t>
            </w:r>
          </w:p>
        </w:tc>
        <w:tc>
          <w:tcPr>
            <w:tcW w:w="1434" w:type="dxa"/>
            <w:vMerge/>
            <w:tcBorders>
              <w:top w:val="nil"/>
              <w:left w:val="single" w:sz="4" w:space="0" w:color="auto"/>
              <w:bottom w:val="single" w:sz="4" w:space="0" w:color="auto"/>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nil"/>
              <w:left w:val="single" w:sz="4" w:space="0" w:color="auto"/>
              <w:bottom w:val="single" w:sz="4" w:space="0" w:color="auto"/>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15"/>
        </w:trPr>
        <w:tc>
          <w:tcPr>
            <w:tcW w:w="858" w:type="dxa"/>
            <w:vMerge w:val="restart"/>
            <w:tcBorders>
              <w:top w:val="nil"/>
              <w:left w:val="single" w:sz="4" w:space="0" w:color="auto"/>
              <w:bottom w:val="single" w:sz="4" w:space="0" w:color="auto"/>
              <w:right w:val="nil"/>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 xml:space="preserve">Tubos à vácuo plástico estéril e descartável c/ tampa hemogard c/ gel separador e ativador </w:t>
            </w:r>
          </w:p>
        </w:tc>
        <w:tc>
          <w:tcPr>
            <w:tcW w:w="14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Caixa</w:t>
            </w:r>
          </w:p>
        </w:tc>
        <w:tc>
          <w:tcPr>
            <w:tcW w:w="18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40</w:t>
            </w:r>
          </w:p>
        </w:tc>
      </w:tr>
      <w:tr w:rsidR="00997A59" w:rsidRPr="00997A59" w:rsidTr="00C60AED">
        <w:trPr>
          <w:trHeight w:val="315"/>
        </w:trPr>
        <w:tc>
          <w:tcPr>
            <w:tcW w:w="858" w:type="dxa"/>
            <w:vMerge/>
            <w:tcBorders>
              <w:top w:val="nil"/>
              <w:left w:val="single" w:sz="4" w:space="0" w:color="auto"/>
              <w:bottom w:val="single" w:sz="4" w:space="0" w:color="auto"/>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single" w:sz="4" w:space="0" w:color="auto"/>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de coágulo, rolha amarela de 4 ml.</w:t>
            </w:r>
          </w:p>
        </w:tc>
        <w:tc>
          <w:tcPr>
            <w:tcW w:w="1434" w:type="dxa"/>
            <w:vMerge/>
            <w:tcBorders>
              <w:top w:val="nil"/>
              <w:left w:val="single" w:sz="4" w:space="0" w:color="auto"/>
              <w:bottom w:val="single" w:sz="4" w:space="0" w:color="auto"/>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nil"/>
              <w:left w:val="single" w:sz="4" w:space="0" w:color="auto"/>
              <w:bottom w:val="single" w:sz="4" w:space="0" w:color="auto"/>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15"/>
        </w:trPr>
        <w:tc>
          <w:tcPr>
            <w:tcW w:w="858" w:type="dxa"/>
            <w:vMerge w:val="restart"/>
            <w:tcBorders>
              <w:top w:val="nil"/>
              <w:left w:val="single" w:sz="4" w:space="0" w:color="auto"/>
              <w:bottom w:val="single" w:sz="4" w:space="0" w:color="auto"/>
              <w:right w:val="nil"/>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 xml:space="preserve">Tubos à vácuo plástico estéril e descartável c/ tampa hemogard c/ gel separador e ativador </w:t>
            </w:r>
          </w:p>
        </w:tc>
        <w:tc>
          <w:tcPr>
            <w:tcW w:w="14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Caixa</w:t>
            </w:r>
          </w:p>
        </w:tc>
        <w:tc>
          <w:tcPr>
            <w:tcW w:w="18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60</w:t>
            </w:r>
          </w:p>
        </w:tc>
      </w:tr>
      <w:tr w:rsidR="00997A59" w:rsidRPr="00997A59" w:rsidTr="00C60AED">
        <w:trPr>
          <w:trHeight w:val="315"/>
        </w:trPr>
        <w:tc>
          <w:tcPr>
            <w:tcW w:w="858" w:type="dxa"/>
            <w:vMerge/>
            <w:tcBorders>
              <w:top w:val="nil"/>
              <w:left w:val="single" w:sz="4" w:space="0" w:color="auto"/>
              <w:bottom w:val="single" w:sz="4" w:space="0" w:color="auto"/>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single" w:sz="4" w:space="0" w:color="auto"/>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de coágulo, rolha amarela de 8,5 ml.</w:t>
            </w:r>
          </w:p>
        </w:tc>
        <w:tc>
          <w:tcPr>
            <w:tcW w:w="1434" w:type="dxa"/>
            <w:vMerge/>
            <w:tcBorders>
              <w:top w:val="nil"/>
              <w:left w:val="single" w:sz="4" w:space="0" w:color="auto"/>
              <w:bottom w:val="single" w:sz="4" w:space="0" w:color="auto"/>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nil"/>
              <w:left w:val="single" w:sz="4" w:space="0" w:color="auto"/>
              <w:bottom w:val="single" w:sz="4" w:space="0" w:color="auto"/>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15"/>
        </w:trPr>
        <w:tc>
          <w:tcPr>
            <w:tcW w:w="858" w:type="dxa"/>
            <w:vMerge w:val="restart"/>
            <w:tcBorders>
              <w:top w:val="nil"/>
              <w:left w:val="single" w:sz="4" w:space="0" w:color="auto"/>
              <w:bottom w:val="single" w:sz="4" w:space="0" w:color="auto"/>
              <w:right w:val="nil"/>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single" w:sz="4" w:space="0" w:color="auto"/>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Tubos à vácuo plástico estéril e descartável c/ tampa hemogard c/ citrato de sódio, rolha azul</w:t>
            </w:r>
          </w:p>
        </w:tc>
        <w:tc>
          <w:tcPr>
            <w:tcW w:w="14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Caixa</w:t>
            </w:r>
          </w:p>
        </w:tc>
        <w:tc>
          <w:tcPr>
            <w:tcW w:w="18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5</w:t>
            </w:r>
          </w:p>
        </w:tc>
      </w:tr>
      <w:tr w:rsidR="00997A59" w:rsidRPr="00997A59" w:rsidTr="00C60AED">
        <w:trPr>
          <w:trHeight w:val="315"/>
        </w:trPr>
        <w:tc>
          <w:tcPr>
            <w:tcW w:w="858" w:type="dxa"/>
            <w:vMerge/>
            <w:tcBorders>
              <w:top w:val="nil"/>
              <w:left w:val="single" w:sz="4" w:space="0" w:color="auto"/>
              <w:bottom w:val="single" w:sz="4" w:space="0" w:color="auto"/>
              <w:right w:val="nil"/>
            </w:tcBorders>
            <w:vAlign w:val="center"/>
            <w:hideMark/>
          </w:tcPr>
          <w:p w:rsidR="00997A59" w:rsidRPr="00C60AED" w:rsidRDefault="00997A59" w:rsidP="00C60AED">
            <w:pPr>
              <w:pStyle w:val="PargrafodaLista"/>
              <w:numPr>
                <w:ilvl w:val="0"/>
                <w:numId w:val="5"/>
              </w:numPr>
              <w:ind w:left="0" w:firstLine="0"/>
              <w:rPr>
                <w:rFonts w:ascii="Century Gothic" w:hAnsi="Century Gothic" w:cs="Arial"/>
                <w:bCs/>
                <w:sz w:val="24"/>
                <w:szCs w:val="24"/>
              </w:rPr>
            </w:pPr>
          </w:p>
        </w:tc>
        <w:tc>
          <w:tcPr>
            <w:tcW w:w="6218" w:type="dxa"/>
            <w:tcBorders>
              <w:top w:val="nil"/>
              <w:left w:val="single" w:sz="4" w:space="0" w:color="auto"/>
              <w:bottom w:val="single" w:sz="4" w:space="0" w:color="auto"/>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de 4,5 ml.</w:t>
            </w:r>
          </w:p>
        </w:tc>
        <w:tc>
          <w:tcPr>
            <w:tcW w:w="1434" w:type="dxa"/>
            <w:vMerge/>
            <w:tcBorders>
              <w:top w:val="nil"/>
              <w:left w:val="single" w:sz="4" w:space="0" w:color="auto"/>
              <w:bottom w:val="single" w:sz="4" w:space="0" w:color="auto"/>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843" w:type="dxa"/>
            <w:vMerge/>
            <w:tcBorders>
              <w:top w:val="nil"/>
              <w:left w:val="single" w:sz="4" w:space="0" w:color="auto"/>
              <w:bottom w:val="single" w:sz="4" w:space="0" w:color="auto"/>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C60AED">
        <w:trPr>
          <w:trHeight w:val="315"/>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nil"/>
              <w:bottom w:val="single" w:sz="4" w:space="0" w:color="auto"/>
              <w:right w:val="single" w:sz="4" w:space="0" w:color="auto"/>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Vidros p/ análise 12 x 75 mm de vidro (tubo de ensaio)</w:t>
            </w:r>
          </w:p>
        </w:tc>
        <w:tc>
          <w:tcPr>
            <w:tcW w:w="1434"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Unidade</w:t>
            </w:r>
          </w:p>
        </w:tc>
        <w:tc>
          <w:tcPr>
            <w:tcW w:w="1843"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10.000</w:t>
            </w:r>
          </w:p>
        </w:tc>
      </w:tr>
      <w:tr w:rsidR="00997A59" w:rsidRPr="00997A59" w:rsidTr="00C60AED">
        <w:trPr>
          <w:trHeight w:val="30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C60AED">
            <w:pPr>
              <w:pStyle w:val="PargrafodaLista"/>
              <w:numPr>
                <w:ilvl w:val="0"/>
                <w:numId w:val="5"/>
              </w:numPr>
              <w:ind w:left="0" w:firstLine="0"/>
              <w:jc w:val="center"/>
              <w:rPr>
                <w:rFonts w:ascii="Century Gothic" w:hAnsi="Century Gothic" w:cs="Arial"/>
                <w:bCs/>
                <w:sz w:val="24"/>
                <w:szCs w:val="24"/>
              </w:rPr>
            </w:pPr>
          </w:p>
        </w:tc>
        <w:tc>
          <w:tcPr>
            <w:tcW w:w="6218" w:type="dxa"/>
            <w:tcBorders>
              <w:top w:val="single" w:sz="4" w:space="0" w:color="auto"/>
              <w:left w:val="nil"/>
              <w:bottom w:val="single" w:sz="4" w:space="0" w:color="auto"/>
              <w:right w:val="single" w:sz="4" w:space="0" w:color="auto"/>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Vidros p/ análise 16 x 150 mm de vidro (tubo de ensaio)</w:t>
            </w:r>
          </w:p>
        </w:tc>
        <w:tc>
          <w:tcPr>
            <w:tcW w:w="1434"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Unidade</w:t>
            </w:r>
          </w:p>
        </w:tc>
        <w:tc>
          <w:tcPr>
            <w:tcW w:w="1843"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50</w:t>
            </w:r>
          </w:p>
        </w:tc>
      </w:tr>
    </w:tbl>
    <w:p w:rsidR="002044C3" w:rsidRPr="00145DF5" w:rsidRDefault="002044C3" w:rsidP="00BE70D4">
      <w:pPr>
        <w:pStyle w:val="PargrafodaLista"/>
        <w:autoSpaceDE w:val="0"/>
        <w:autoSpaceDN w:val="0"/>
        <w:adjustRightInd w:val="0"/>
        <w:spacing w:after="0" w:line="240" w:lineRule="auto"/>
        <w:ind w:left="0"/>
        <w:jc w:val="both"/>
        <w:rPr>
          <w:rFonts w:ascii="Century Gothic" w:hAnsi="Century Gothic" w:cs="Arial"/>
          <w:b/>
          <w:i/>
          <w:sz w:val="24"/>
          <w:szCs w:val="28"/>
        </w:rPr>
      </w:pPr>
      <w:r w:rsidRPr="00145DF5">
        <w:rPr>
          <w:rFonts w:ascii="Century Gothic" w:hAnsi="Century Gothic" w:cs="Arial"/>
          <w:sz w:val="24"/>
          <w:szCs w:val="28"/>
        </w:rPr>
        <w:t xml:space="preserve">* </w:t>
      </w:r>
      <w:r w:rsidRPr="00145DF5">
        <w:rPr>
          <w:rFonts w:ascii="Century Gothic" w:hAnsi="Century Gothic" w:cs="Arial"/>
          <w:i/>
          <w:sz w:val="24"/>
          <w:szCs w:val="28"/>
        </w:rPr>
        <w:t>Quantidade estimada para consumo em 12 meses.</w:t>
      </w:r>
    </w:p>
    <w:p w:rsidR="002044C3" w:rsidRPr="00145DF5" w:rsidRDefault="002044C3" w:rsidP="00BE70D4">
      <w:pPr>
        <w:autoSpaceDE w:val="0"/>
        <w:autoSpaceDN w:val="0"/>
        <w:adjustRightInd w:val="0"/>
        <w:jc w:val="both"/>
        <w:rPr>
          <w:rFonts w:ascii="Century Gothic" w:hAnsi="Century Gothic" w:cs="Arial"/>
          <w:b/>
          <w:bCs/>
          <w:sz w:val="28"/>
          <w:szCs w:val="28"/>
        </w:rPr>
      </w:pPr>
    </w:p>
    <w:p w:rsidR="002044C3" w:rsidRPr="00145DF5" w:rsidRDefault="00C60AED" w:rsidP="00BE70D4">
      <w:pPr>
        <w:autoSpaceDE w:val="0"/>
        <w:autoSpaceDN w:val="0"/>
        <w:adjustRightInd w:val="0"/>
        <w:jc w:val="both"/>
        <w:rPr>
          <w:rFonts w:ascii="Century Gothic" w:hAnsi="Century Gothic" w:cs="Arial"/>
          <w:b/>
          <w:bCs/>
          <w:sz w:val="28"/>
          <w:szCs w:val="28"/>
        </w:rPr>
      </w:pPr>
      <w:r>
        <w:rPr>
          <w:rFonts w:ascii="Century Gothic" w:hAnsi="Century Gothic" w:cs="Arial"/>
          <w:b/>
          <w:bCs/>
          <w:sz w:val="28"/>
          <w:szCs w:val="28"/>
        </w:rPr>
        <w:t xml:space="preserve">3 – </w:t>
      </w:r>
      <w:r w:rsidR="002044C3" w:rsidRPr="00145DF5">
        <w:rPr>
          <w:rFonts w:ascii="Century Gothic" w:hAnsi="Century Gothic" w:cs="Arial"/>
          <w:b/>
          <w:bCs/>
          <w:sz w:val="28"/>
          <w:szCs w:val="28"/>
        </w:rPr>
        <w:t>PRAZO DE ENTREGA:</w:t>
      </w:r>
    </w:p>
    <w:p w:rsidR="002044C3" w:rsidRPr="00145DF5" w:rsidRDefault="00C60AED" w:rsidP="00BE70D4">
      <w:pPr>
        <w:autoSpaceDE w:val="0"/>
        <w:autoSpaceDN w:val="0"/>
        <w:adjustRightInd w:val="0"/>
        <w:jc w:val="both"/>
        <w:rPr>
          <w:rFonts w:ascii="Century Gothic" w:hAnsi="Century Gothic"/>
          <w:sz w:val="28"/>
          <w:szCs w:val="28"/>
        </w:rPr>
      </w:pPr>
      <w:r w:rsidRPr="00D1041D">
        <w:rPr>
          <w:rFonts w:ascii="Century Gothic" w:hAnsi="Century Gothic" w:cs="Arial"/>
          <w:sz w:val="28"/>
          <w:szCs w:val="28"/>
        </w:rPr>
        <w:t xml:space="preserve">As entregas previstas deverão atender aos pedidos formulados pelo Município de Pirajuí, e deverão ocorrer no prazo máximo de </w:t>
      </w:r>
      <w:r w:rsidRPr="00D1041D">
        <w:rPr>
          <w:rFonts w:ascii="Century Gothic" w:hAnsi="Century Gothic"/>
          <w:b/>
          <w:sz w:val="28"/>
          <w:szCs w:val="28"/>
        </w:rPr>
        <w:t>05</w:t>
      </w:r>
      <w:r w:rsidRPr="00D1041D">
        <w:rPr>
          <w:rFonts w:ascii="Century Gothic" w:hAnsi="Century Gothic"/>
          <w:b/>
          <w:bCs/>
          <w:sz w:val="28"/>
          <w:szCs w:val="28"/>
        </w:rPr>
        <w:t xml:space="preserve"> </w:t>
      </w:r>
      <w:r w:rsidRPr="00D1041D">
        <w:rPr>
          <w:rFonts w:ascii="Century Gothic" w:hAnsi="Century Gothic"/>
          <w:sz w:val="28"/>
          <w:szCs w:val="28"/>
        </w:rPr>
        <w:t>(cinco)</w:t>
      </w:r>
      <w:r w:rsidRPr="00D1041D">
        <w:rPr>
          <w:rFonts w:ascii="Century Gothic" w:hAnsi="Century Gothic" w:cs="Arial"/>
          <w:b/>
          <w:bCs/>
          <w:sz w:val="28"/>
          <w:szCs w:val="28"/>
        </w:rPr>
        <w:t xml:space="preserve"> dias corridos</w:t>
      </w:r>
      <w:r w:rsidRPr="00D1041D">
        <w:rPr>
          <w:rFonts w:ascii="Century Gothic" w:hAnsi="Century Gothic" w:cs="Arial"/>
          <w:sz w:val="28"/>
          <w:szCs w:val="28"/>
        </w:rPr>
        <w:t xml:space="preserve">, contados do recebimento da </w:t>
      </w:r>
      <w:r w:rsidRPr="00D1041D">
        <w:rPr>
          <w:rFonts w:ascii="Century Gothic" w:hAnsi="Century Gothic" w:cs="Arial"/>
          <w:b/>
          <w:bCs/>
          <w:sz w:val="28"/>
          <w:szCs w:val="28"/>
        </w:rPr>
        <w:t>Autorização de Compra</w:t>
      </w:r>
      <w:r w:rsidR="002044C3" w:rsidRPr="00145DF5">
        <w:rPr>
          <w:rFonts w:ascii="Century Gothic" w:hAnsi="Century Gothic"/>
          <w:sz w:val="28"/>
          <w:szCs w:val="28"/>
        </w:rPr>
        <w:t>.</w:t>
      </w:r>
    </w:p>
    <w:p w:rsidR="00240BD1" w:rsidRPr="00145DF5" w:rsidRDefault="00240BD1" w:rsidP="00BE70D4">
      <w:pPr>
        <w:autoSpaceDE w:val="0"/>
        <w:autoSpaceDN w:val="0"/>
        <w:adjustRightInd w:val="0"/>
        <w:jc w:val="both"/>
        <w:rPr>
          <w:rFonts w:ascii="Century Gothic" w:hAnsi="Century Gothic"/>
          <w:sz w:val="28"/>
          <w:szCs w:val="28"/>
        </w:rPr>
      </w:pPr>
    </w:p>
    <w:p w:rsidR="002044C3" w:rsidRPr="00145DF5" w:rsidRDefault="00C60AED" w:rsidP="00BE70D4">
      <w:pPr>
        <w:autoSpaceDE w:val="0"/>
        <w:autoSpaceDN w:val="0"/>
        <w:adjustRightInd w:val="0"/>
        <w:jc w:val="both"/>
        <w:rPr>
          <w:rFonts w:ascii="Century Gothic" w:hAnsi="Century Gothic" w:cs="Arial"/>
          <w:b/>
          <w:bCs/>
          <w:sz w:val="28"/>
          <w:szCs w:val="28"/>
        </w:rPr>
      </w:pPr>
      <w:r>
        <w:rPr>
          <w:rFonts w:ascii="Century Gothic" w:hAnsi="Century Gothic" w:cs="Arial"/>
          <w:b/>
          <w:bCs/>
          <w:sz w:val="28"/>
          <w:szCs w:val="28"/>
        </w:rPr>
        <w:t xml:space="preserve">4 – </w:t>
      </w:r>
      <w:r w:rsidR="002044C3" w:rsidRPr="00145DF5">
        <w:rPr>
          <w:rFonts w:ascii="Century Gothic" w:hAnsi="Century Gothic"/>
          <w:b/>
          <w:sz w:val="28"/>
          <w:szCs w:val="28"/>
        </w:rPr>
        <w:t>LOCAL DE ENTREGA:</w:t>
      </w:r>
    </w:p>
    <w:p w:rsidR="002044C3" w:rsidRPr="00145DF5" w:rsidRDefault="00240BD1" w:rsidP="00BE70D4">
      <w:pPr>
        <w:autoSpaceDE w:val="0"/>
        <w:autoSpaceDN w:val="0"/>
        <w:adjustRightInd w:val="0"/>
        <w:jc w:val="both"/>
        <w:rPr>
          <w:rFonts w:ascii="Century Gothic" w:hAnsi="Century Gothic" w:cs="Arial"/>
          <w:bCs/>
          <w:sz w:val="28"/>
          <w:szCs w:val="28"/>
        </w:rPr>
      </w:pPr>
      <w:r w:rsidRPr="00145DF5">
        <w:rPr>
          <w:rFonts w:ascii="Century Gothic" w:hAnsi="Century Gothic"/>
          <w:sz w:val="28"/>
          <w:szCs w:val="28"/>
        </w:rPr>
        <w:t>Centro de Saúde II “Doutor Jorge Meirelles da Rocha”, localizado na Rua Riachuelo n</w:t>
      </w:r>
      <w:r w:rsidRPr="00145DF5">
        <w:rPr>
          <w:rFonts w:ascii="Century Gothic" w:hAnsi="Century Gothic"/>
          <w:bCs/>
          <w:sz w:val="28"/>
          <w:szCs w:val="28"/>
        </w:rPr>
        <w:t>° 910 – Centro – Pirajuí – SP</w:t>
      </w:r>
      <w:r w:rsidR="002044C3" w:rsidRPr="00145DF5">
        <w:rPr>
          <w:rFonts w:ascii="Century Gothic" w:hAnsi="Century Gothic" w:cs="Arial"/>
          <w:sz w:val="28"/>
          <w:szCs w:val="28"/>
        </w:rPr>
        <w:t>.</w:t>
      </w:r>
      <w:r w:rsidR="002044C3" w:rsidRPr="00145DF5">
        <w:rPr>
          <w:rFonts w:ascii="Century Gothic" w:hAnsi="Century Gothic" w:cs="Arial"/>
          <w:bCs/>
          <w:sz w:val="28"/>
          <w:szCs w:val="28"/>
        </w:rPr>
        <w:t xml:space="preserve"> </w:t>
      </w:r>
    </w:p>
    <w:p w:rsidR="002044C3" w:rsidRPr="00145DF5" w:rsidRDefault="002044C3" w:rsidP="00BE70D4">
      <w:pPr>
        <w:autoSpaceDE w:val="0"/>
        <w:autoSpaceDN w:val="0"/>
        <w:adjustRightInd w:val="0"/>
        <w:jc w:val="both"/>
        <w:rPr>
          <w:rFonts w:ascii="Century Gothic" w:hAnsi="Century Gothic" w:cs="Arial"/>
          <w:bCs/>
          <w:sz w:val="28"/>
          <w:szCs w:val="28"/>
        </w:rPr>
      </w:pPr>
    </w:p>
    <w:p w:rsidR="002044C3" w:rsidRPr="00145DF5" w:rsidRDefault="00C60AED" w:rsidP="00BE70D4">
      <w:pPr>
        <w:autoSpaceDE w:val="0"/>
        <w:autoSpaceDN w:val="0"/>
        <w:adjustRightInd w:val="0"/>
        <w:jc w:val="both"/>
        <w:rPr>
          <w:rFonts w:ascii="Century Gothic" w:hAnsi="Century Gothic" w:cs="Arial"/>
          <w:b/>
          <w:sz w:val="28"/>
          <w:szCs w:val="28"/>
        </w:rPr>
      </w:pPr>
      <w:r>
        <w:rPr>
          <w:rFonts w:ascii="Century Gothic" w:hAnsi="Century Gothic" w:cs="Arial"/>
          <w:b/>
          <w:bCs/>
          <w:sz w:val="28"/>
          <w:szCs w:val="28"/>
        </w:rPr>
        <w:t xml:space="preserve">5 – </w:t>
      </w:r>
      <w:r w:rsidR="002044C3" w:rsidRPr="00145DF5">
        <w:rPr>
          <w:rFonts w:ascii="Century Gothic" w:hAnsi="Century Gothic" w:cs="Arial"/>
          <w:b/>
          <w:bCs/>
          <w:sz w:val="28"/>
          <w:szCs w:val="28"/>
        </w:rPr>
        <w:t>OBSERVAÇÕES:</w:t>
      </w:r>
    </w:p>
    <w:p w:rsidR="002044C3" w:rsidRPr="00145DF5" w:rsidRDefault="002044C3" w:rsidP="00BE70D4">
      <w:pPr>
        <w:autoSpaceDE w:val="0"/>
        <w:autoSpaceDN w:val="0"/>
        <w:adjustRightInd w:val="0"/>
        <w:jc w:val="both"/>
        <w:rPr>
          <w:rFonts w:ascii="Century Gothic" w:hAnsi="Century Gothic"/>
          <w:sz w:val="28"/>
          <w:szCs w:val="28"/>
        </w:rPr>
      </w:pPr>
      <w:r w:rsidRPr="00145DF5">
        <w:rPr>
          <w:rFonts w:ascii="Century Gothic" w:hAnsi="Century Gothic"/>
          <w:sz w:val="28"/>
          <w:szCs w:val="28"/>
        </w:rPr>
        <w:t xml:space="preserve">A existência de preços registrados não obriga este Município de </w:t>
      </w:r>
      <w:r w:rsidR="00534669" w:rsidRPr="00145DF5">
        <w:rPr>
          <w:rFonts w:ascii="Century Gothic" w:hAnsi="Century Gothic"/>
          <w:sz w:val="28"/>
          <w:szCs w:val="28"/>
        </w:rPr>
        <w:t>Pirajuí</w:t>
      </w:r>
      <w:r w:rsidRPr="00145DF5">
        <w:rPr>
          <w:rFonts w:ascii="Century Gothic" w:hAnsi="Century Gothic"/>
          <w:sz w:val="28"/>
          <w:szCs w:val="28"/>
        </w:rPr>
        <w:t xml:space="preserve"> a firmar as contratações que deles poderão advir, ficando-lhe facultada a utilização de outros meios, respeitada a legislação relativa às licitações, sendo assegurado ao beneficiário do registro a preferência de contratação em igualdade de condições.</w:t>
      </w:r>
    </w:p>
    <w:p w:rsidR="000347DC" w:rsidRPr="00145DF5" w:rsidRDefault="000347DC">
      <w:pPr>
        <w:rPr>
          <w:rFonts w:ascii="Century Gothic" w:hAnsi="Century Gothic" w:cs="Arial"/>
          <w:b/>
          <w:bCs/>
          <w:sz w:val="28"/>
          <w:szCs w:val="28"/>
        </w:rPr>
      </w:pPr>
      <w:r w:rsidRPr="00145DF5">
        <w:rPr>
          <w:rFonts w:ascii="Century Gothic" w:hAnsi="Century Gothic" w:cs="Arial"/>
          <w:b/>
          <w:bCs/>
          <w:sz w:val="28"/>
          <w:szCs w:val="28"/>
        </w:rPr>
        <w:br w:type="page"/>
      </w:r>
    </w:p>
    <w:p w:rsidR="000C6F94" w:rsidRPr="00145DF5" w:rsidRDefault="000C6F94" w:rsidP="00BE70D4">
      <w:pPr>
        <w:autoSpaceDE w:val="0"/>
        <w:autoSpaceDN w:val="0"/>
        <w:adjustRightInd w:val="0"/>
        <w:jc w:val="center"/>
        <w:rPr>
          <w:rFonts w:ascii="Century Gothic" w:hAnsi="Century Gothic" w:cs="Arial"/>
          <w:b/>
          <w:bCs/>
          <w:sz w:val="28"/>
          <w:szCs w:val="28"/>
        </w:rPr>
      </w:pPr>
      <w:r w:rsidRPr="00145DF5">
        <w:rPr>
          <w:rFonts w:ascii="Century Gothic" w:hAnsi="Century Gothic" w:cs="Arial"/>
          <w:b/>
          <w:bCs/>
          <w:sz w:val="28"/>
          <w:szCs w:val="28"/>
        </w:rPr>
        <w:lastRenderedPageBreak/>
        <w:t>ANEXO III – PROPOSTA COMERCIAL</w:t>
      </w:r>
    </w:p>
    <w:p w:rsidR="000F612C" w:rsidRPr="00145DF5" w:rsidRDefault="000F612C" w:rsidP="000F612C">
      <w:pPr>
        <w:autoSpaceDE w:val="0"/>
        <w:autoSpaceDN w:val="0"/>
        <w:adjustRightInd w:val="0"/>
        <w:jc w:val="center"/>
        <w:rPr>
          <w:rFonts w:ascii="Century Gothic" w:hAnsi="Century Gothic" w:cs="Arial"/>
          <w:b/>
          <w:bCs/>
          <w:sz w:val="28"/>
          <w:szCs w:val="28"/>
        </w:rPr>
      </w:pPr>
      <w:r w:rsidRPr="00145DF5">
        <w:rPr>
          <w:rFonts w:ascii="Century Gothic" w:hAnsi="Century Gothic" w:cs="Arial"/>
          <w:b/>
          <w:bCs/>
          <w:sz w:val="28"/>
          <w:szCs w:val="28"/>
        </w:rPr>
        <w:t>PREGÃO (PRESENCIAL) N° 00</w:t>
      </w:r>
      <w:r w:rsidR="008476C5">
        <w:rPr>
          <w:rFonts w:ascii="Century Gothic" w:hAnsi="Century Gothic" w:cs="Arial"/>
          <w:b/>
          <w:bCs/>
          <w:sz w:val="28"/>
          <w:szCs w:val="28"/>
        </w:rPr>
        <w:t>6</w:t>
      </w:r>
      <w:r w:rsidRPr="00145DF5">
        <w:rPr>
          <w:rFonts w:ascii="Century Gothic" w:hAnsi="Century Gothic" w:cs="Arial"/>
          <w:b/>
          <w:bCs/>
          <w:sz w:val="28"/>
          <w:szCs w:val="28"/>
        </w:rPr>
        <w:t>/2017</w:t>
      </w:r>
    </w:p>
    <w:p w:rsidR="000F612C" w:rsidRPr="00145DF5" w:rsidRDefault="000F612C" w:rsidP="000F612C">
      <w:pPr>
        <w:autoSpaceDE w:val="0"/>
        <w:autoSpaceDN w:val="0"/>
        <w:adjustRightInd w:val="0"/>
        <w:jc w:val="center"/>
        <w:rPr>
          <w:rFonts w:ascii="Century Gothic" w:hAnsi="Century Gothic" w:cs="Arial"/>
          <w:b/>
          <w:bCs/>
          <w:sz w:val="28"/>
          <w:szCs w:val="28"/>
        </w:rPr>
      </w:pPr>
      <w:r w:rsidRPr="00145DF5">
        <w:rPr>
          <w:rFonts w:ascii="Century Gothic" w:hAnsi="Century Gothic" w:cs="Arial"/>
          <w:b/>
          <w:bCs/>
          <w:sz w:val="28"/>
          <w:szCs w:val="28"/>
        </w:rPr>
        <w:t>PROCESSO N° 0</w:t>
      </w:r>
      <w:r w:rsidR="008476C5">
        <w:rPr>
          <w:rFonts w:ascii="Century Gothic" w:hAnsi="Century Gothic" w:cs="Arial"/>
          <w:b/>
          <w:bCs/>
          <w:sz w:val="28"/>
          <w:szCs w:val="28"/>
        </w:rPr>
        <w:t>1</w:t>
      </w:r>
      <w:r w:rsidRPr="00145DF5">
        <w:rPr>
          <w:rFonts w:ascii="Century Gothic" w:hAnsi="Century Gothic" w:cs="Arial"/>
          <w:b/>
          <w:bCs/>
          <w:sz w:val="28"/>
          <w:szCs w:val="28"/>
        </w:rPr>
        <w:t>1/2017</w:t>
      </w:r>
    </w:p>
    <w:p w:rsidR="000C6F94" w:rsidRPr="00145DF5" w:rsidRDefault="000C6F94" w:rsidP="00BE70D4">
      <w:pPr>
        <w:autoSpaceDE w:val="0"/>
        <w:autoSpaceDN w:val="0"/>
        <w:adjustRightInd w:val="0"/>
        <w:jc w:val="both"/>
        <w:rPr>
          <w:rFonts w:ascii="Century Gothic" w:hAnsi="Century Gothic" w:cs="Arial"/>
          <w:b/>
          <w:bCs/>
          <w:i/>
          <w:iCs/>
          <w:sz w:val="28"/>
          <w:szCs w:val="28"/>
        </w:rPr>
      </w:pPr>
    </w:p>
    <w:p w:rsidR="000C6F94" w:rsidRPr="00145DF5" w:rsidRDefault="000C6F94" w:rsidP="00BE70D4">
      <w:pPr>
        <w:autoSpaceDE w:val="0"/>
        <w:autoSpaceDN w:val="0"/>
        <w:adjustRightInd w:val="0"/>
        <w:jc w:val="both"/>
        <w:rPr>
          <w:rFonts w:ascii="Century Gothic" w:hAnsi="Century Gothic" w:cs="Arial"/>
          <w:b/>
          <w:bCs/>
          <w:i/>
          <w:iCs/>
          <w:sz w:val="28"/>
          <w:szCs w:val="28"/>
        </w:rPr>
      </w:pPr>
      <w:r w:rsidRPr="00145DF5">
        <w:rPr>
          <w:rFonts w:ascii="Century Gothic" w:hAnsi="Century Gothic" w:cs="Arial"/>
          <w:sz w:val="28"/>
          <w:szCs w:val="28"/>
        </w:rPr>
        <w:t>A simples apresentação desta Proposta é considerada como indicação bastante de que inexistem fatos que impeçam a participação do licitante neste certame</w:t>
      </w:r>
    </w:p>
    <w:p w:rsidR="000C6F94" w:rsidRPr="00145DF5" w:rsidRDefault="000C6F94" w:rsidP="00BE70D4">
      <w:pPr>
        <w:autoSpaceDE w:val="0"/>
        <w:autoSpaceDN w:val="0"/>
        <w:adjustRightInd w:val="0"/>
        <w:jc w:val="both"/>
        <w:rPr>
          <w:rFonts w:ascii="Century Gothic" w:hAnsi="Century Gothic" w:cs="Arial"/>
          <w:b/>
          <w:bCs/>
          <w:i/>
          <w:i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4"/>
        <w:gridCol w:w="3524"/>
        <w:gridCol w:w="3525"/>
      </w:tblGrid>
      <w:tr w:rsidR="000C6F94" w:rsidRPr="00145DF5" w:rsidTr="00697877">
        <w:trPr>
          <w:jc w:val="center"/>
        </w:trPr>
        <w:tc>
          <w:tcPr>
            <w:tcW w:w="10573" w:type="dxa"/>
            <w:gridSpan w:val="3"/>
            <w:shd w:val="clear" w:color="auto" w:fill="DDD9C3" w:themeFill="background2" w:themeFillShade="E6"/>
          </w:tcPr>
          <w:p w:rsidR="000C6F94" w:rsidRPr="00145DF5" w:rsidRDefault="000C6F94" w:rsidP="00BE70D4">
            <w:pPr>
              <w:autoSpaceDE w:val="0"/>
              <w:autoSpaceDN w:val="0"/>
              <w:adjustRightInd w:val="0"/>
              <w:jc w:val="center"/>
              <w:rPr>
                <w:rFonts w:ascii="Century Gothic" w:hAnsi="Century Gothic" w:cs="Arial"/>
                <w:b/>
                <w:bCs/>
                <w:iCs/>
                <w:sz w:val="28"/>
                <w:szCs w:val="28"/>
              </w:rPr>
            </w:pPr>
            <w:r w:rsidRPr="00145DF5">
              <w:rPr>
                <w:rFonts w:ascii="Century Gothic" w:hAnsi="Century Gothic" w:cs="Arial"/>
                <w:b/>
                <w:bCs/>
                <w:iCs/>
                <w:sz w:val="28"/>
                <w:szCs w:val="28"/>
              </w:rPr>
              <w:t>DADOS DO LICITANTE</w:t>
            </w:r>
          </w:p>
        </w:tc>
      </w:tr>
      <w:tr w:rsidR="000C6F94" w:rsidRPr="00145DF5" w:rsidTr="00BE70D4">
        <w:trPr>
          <w:jc w:val="center"/>
        </w:trPr>
        <w:tc>
          <w:tcPr>
            <w:tcW w:w="10573" w:type="dxa"/>
            <w:gridSpan w:val="3"/>
          </w:tcPr>
          <w:p w:rsidR="000C6F94" w:rsidRPr="00145DF5" w:rsidRDefault="000C6F94" w:rsidP="00BE70D4">
            <w:pPr>
              <w:autoSpaceDE w:val="0"/>
              <w:autoSpaceDN w:val="0"/>
              <w:adjustRightInd w:val="0"/>
              <w:jc w:val="both"/>
              <w:rPr>
                <w:rFonts w:ascii="Century Gothic" w:hAnsi="Century Gothic" w:cs="Arial"/>
                <w:b/>
                <w:bCs/>
                <w:iCs/>
                <w:sz w:val="28"/>
                <w:szCs w:val="28"/>
              </w:rPr>
            </w:pPr>
            <w:r w:rsidRPr="00145DF5">
              <w:rPr>
                <w:rFonts w:ascii="Century Gothic" w:hAnsi="Century Gothic" w:cs="Arial"/>
                <w:b/>
                <w:bCs/>
                <w:iCs/>
                <w:sz w:val="28"/>
                <w:szCs w:val="28"/>
              </w:rPr>
              <w:t>DENOMINAÇÃO:</w:t>
            </w:r>
          </w:p>
        </w:tc>
      </w:tr>
      <w:tr w:rsidR="000C6F94" w:rsidRPr="00145DF5" w:rsidTr="00BE70D4">
        <w:trPr>
          <w:jc w:val="center"/>
        </w:trPr>
        <w:tc>
          <w:tcPr>
            <w:tcW w:w="10573" w:type="dxa"/>
            <w:gridSpan w:val="3"/>
          </w:tcPr>
          <w:p w:rsidR="000C6F94" w:rsidRPr="00145DF5" w:rsidRDefault="000C6F94" w:rsidP="00BE70D4">
            <w:pPr>
              <w:autoSpaceDE w:val="0"/>
              <w:autoSpaceDN w:val="0"/>
              <w:adjustRightInd w:val="0"/>
              <w:jc w:val="both"/>
              <w:rPr>
                <w:rFonts w:ascii="Century Gothic" w:hAnsi="Century Gothic" w:cs="Arial"/>
                <w:b/>
                <w:bCs/>
                <w:iCs/>
                <w:sz w:val="28"/>
                <w:szCs w:val="28"/>
              </w:rPr>
            </w:pPr>
            <w:r w:rsidRPr="00145DF5">
              <w:rPr>
                <w:rFonts w:ascii="Century Gothic" w:hAnsi="Century Gothic" w:cs="Arial"/>
                <w:b/>
                <w:bCs/>
                <w:iCs/>
                <w:sz w:val="28"/>
                <w:szCs w:val="28"/>
              </w:rPr>
              <w:t>ENDEREÇO:</w:t>
            </w:r>
          </w:p>
        </w:tc>
      </w:tr>
      <w:tr w:rsidR="000C6F94" w:rsidRPr="00145DF5" w:rsidTr="00BE70D4">
        <w:trPr>
          <w:jc w:val="center"/>
        </w:trPr>
        <w:tc>
          <w:tcPr>
            <w:tcW w:w="3524" w:type="dxa"/>
          </w:tcPr>
          <w:p w:rsidR="000C6F94" w:rsidRPr="00145DF5" w:rsidRDefault="000C6F94" w:rsidP="00BE70D4">
            <w:pPr>
              <w:autoSpaceDE w:val="0"/>
              <w:autoSpaceDN w:val="0"/>
              <w:adjustRightInd w:val="0"/>
              <w:jc w:val="both"/>
              <w:rPr>
                <w:rFonts w:ascii="Century Gothic" w:hAnsi="Century Gothic" w:cs="Arial"/>
                <w:b/>
                <w:bCs/>
                <w:iCs/>
                <w:sz w:val="28"/>
                <w:szCs w:val="28"/>
              </w:rPr>
            </w:pPr>
            <w:r w:rsidRPr="00145DF5">
              <w:rPr>
                <w:rFonts w:ascii="Century Gothic" w:hAnsi="Century Gothic" w:cs="Arial"/>
                <w:b/>
                <w:bCs/>
                <w:iCs/>
                <w:sz w:val="28"/>
                <w:szCs w:val="28"/>
              </w:rPr>
              <w:t>CEP:</w:t>
            </w:r>
          </w:p>
        </w:tc>
        <w:tc>
          <w:tcPr>
            <w:tcW w:w="3524" w:type="dxa"/>
          </w:tcPr>
          <w:p w:rsidR="000C6F94" w:rsidRPr="00145DF5" w:rsidRDefault="000C6F94" w:rsidP="00BE70D4">
            <w:pPr>
              <w:autoSpaceDE w:val="0"/>
              <w:autoSpaceDN w:val="0"/>
              <w:adjustRightInd w:val="0"/>
              <w:jc w:val="both"/>
              <w:rPr>
                <w:rFonts w:ascii="Century Gothic" w:hAnsi="Century Gothic" w:cs="Arial"/>
                <w:b/>
                <w:bCs/>
                <w:iCs/>
                <w:sz w:val="28"/>
                <w:szCs w:val="28"/>
              </w:rPr>
            </w:pPr>
            <w:r w:rsidRPr="00145DF5">
              <w:rPr>
                <w:rFonts w:ascii="Century Gothic" w:hAnsi="Century Gothic" w:cs="Arial"/>
                <w:b/>
                <w:bCs/>
                <w:iCs/>
                <w:sz w:val="28"/>
                <w:szCs w:val="28"/>
              </w:rPr>
              <w:t>FONE:</w:t>
            </w:r>
          </w:p>
        </w:tc>
        <w:tc>
          <w:tcPr>
            <w:tcW w:w="3525" w:type="dxa"/>
          </w:tcPr>
          <w:p w:rsidR="000C6F94" w:rsidRPr="00145DF5" w:rsidRDefault="000C6F94" w:rsidP="00BE70D4">
            <w:pPr>
              <w:autoSpaceDE w:val="0"/>
              <w:autoSpaceDN w:val="0"/>
              <w:adjustRightInd w:val="0"/>
              <w:jc w:val="both"/>
              <w:rPr>
                <w:rFonts w:ascii="Century Gothic" w:hAnsi="Century Gothic" w:cs="Arial"/>
                <w:b/>
                <w:bCs/>
                <w:iCs/>
                <w:sz w:val="28"/>
                <w:szCs w:val="28"/>
              </w:rPr>
            </w:pPr>
            <w:r w:rsidRPr="00145DF5">
              <w:rPr>
                <w:rFonts w:ascii="Century Gothic" w:hAnsi="Century Gothic" w:cs="Arial"/>
                <w:b/>
                <w:bCs/>
                <w:iCs/>
                <w:sz w:val="28"/>
                <w:szCs w:val="28"/>
              </w:rPr>
              <w:t>FAX:</w:t>
            </w:r>
          </w:p>
        </w:tc>
      </w:tr>
      <w:tr w:rsidR="000C6F94" w:rsidRPr="00145DF5" w:rsidTr="00BE70D4">
        <w:trPr>
          <w:jc w:val="center"/>
        </w:trPr>
        <w:tc>
          <w:tcPr>
            <w:tcW w:w="7048" w:type="dxa"/>
            <w:gridSpan w:val="2"/>
          </w:tcPr>
          <w:p w:rsidR="000C6F94" w:rsidRPr="00145DF5" w:rsidRDefault="000C6F94" w:rsidP="00BE70D4">
            <w:pPr>
              <w:autoSpaceDE w:val="0"/>
              <w:autoSpaceDN w:val="0"/>
              <w:adjustRightInd w:val="0"/>
              <w:jc w:val="both"/>
              <w:rPr>
                <w:rFonts w:ascii="Century Gothic" w:hAnsi="Century Gothic" w:cs="Arial"/>
                <w:b/>
                <w:bCs/>
                <w:iCs/>
                <w:sz w:val="28"/>
                <w:szCs w:val="28"/>
              </w:rPr>
            </w:pPr>
            <w:r w:rsidRPr="00145DF5">
              <w:rPr>
                <w:rFonts w:ascii="Century Gothic" w:hAnsi="Century Gothic" w:cs="Arial"/>
                <w:b/>
                <w:bCs/>
                <w:iCs/>
                <w:sz w:val="28"/>
                <w:szCs w:val="28"/>
              </w:rPr>
              <w:t>E-MAIL:</w:t>
            </w:r>
          </w:p>
        </w:tc>
        <w:tc>
          <w:tcPr>
            <w:tcW w:w="3525" w:type="dxa"/>
          </w:tcPr>
          <w:p w:rsidR="000C6F94" w:rsidRPr="00145DF5" w:rsidRDefault="000C6F94" w:rsidP="00BE70D4">
            <w:pPr>
              <w:autoSpaceDE w:val="0"/>
              <w:autoSpaceDN w:val="0"/>
              <w:adjustRightInd w:val="0"/>
              <w:jc w:val="both"/>
              <w:rPr>
                <w:rFonts w:ascii="Century Gothic" w:hAnsi="Century Gothic" w:cs="Arial"/>
                <w:b/>
                <w:bCs/>
                <w:iCs/>
                <w:sz w:val="28"/>
                <w:szCs w:val="28"/>
              </w:rPr>
            </w:pPr>
            <w:r w:rsidRPr="00145DF5">
              <w:rPr>
                <w:rFonts w:ascii="Century Gothic" w:hAnsi="Century Gothic" w:cs="Arial"/>
                <w:b/>
                <w:bCs/>
                <w:iCs/>
                <w:sz w:val="28"/>
                <w:szCs w:val="28"/>
              </w:rPr>
              <w:t>CNPJ:</w:t>
            </w:r>
          </w:p>
        </w:tc>
      </w:tr>
    </w:tbl>
    <w:p w:rsidR="000C6F94" w:rsidRPr="00145DF5" w:rsidRDefault="000C6F94" w:rsidP="00BE70D4">
      <w:pPr>
        <w:autoSpaceDE w:val="0"/>
        <w:autoSpaceDN w:val="0"/>
        <w:adjustRightInd w:val="0"/>
        <w:jc w:val="both"/>
        <w:rPr>
          <w:rFonts w:ascii="Century Gothic" w:hAnsi="Century Gothic" w:cs="Arial"/>
          <w:b/>
          <w:bCs/>
          <w:i/>
          <w:iCs/>
          <w:sz w:val="28"/>
          <w:szCs w:val="28"/>
        </w:rPr>
      </w:pPr>
    </w:p>
    <w:p w:rsidR="000C6F94" w:rsidRDefault="000C6F94" w:rsidP="00BE70D4">
      <w:pPr>
        <w:widowControl w:val="0"/>
        <w:jc w:val="both"/>
        <w:rPr>
          <w:rFonts w:ascii="Century Gothic" w:hAnsi="Century Gothic" w:cs="Arial"/>
          <w:bCs/>
          <w:sz w:val="28"/>
          <w:szCs w:val="28"/>
        </w:rPr>
      </w:pPr>
      <w:r w:rsidRPr="00145DF5">
        <w:rPr>
          <w:rFonts w:ascii="Century Gothic" w:eastAsia="MS Mincho" w:hAnsi="Century Gothic" w:cs="Arial"/>
          <w:b/>
          <w:bCs/>
          <w:sz w:val="28"/>
          <w:szCs w:val="28"/>
        </w:rPr>
        <w:t xml:space="preserve">OBJETO: </w:t>
      </w:r>
      <w:r w:rsidR="008476C5">
        <w:rPr>
          <w:rFonts w:ascii="Century Gothic" w:hAnsi="Century Gothic" w:cs="Arial"/>
          <w:bCs/>
          <w:sz w:val="28"/>
          <w:szCs w:val="28"/>
        </w:rPr>
        <w:t xml:space="preserve">Registro de Preços para a </w:t>
      </w:r>
      <w:r w:rsidR="008476C5" w:rsidRPr="007E1C15">
        <w:rPr>
          <w:rFonts w:ascii="Century Gothic" w:hAnsi="Century Gothic"/>
          <w:sz w:val="28"/>
          <w:szCs w:val="28"/>
        </w:rPr>
        <w:t xml:space="preserve">Aquisição de </w:t>
      </w:r>
      <w:r w:rsidR="008476C5">
        <w:rPr>
          <w:rFonts w:ascii="Century Gothic" w:hAnsi="Century Gothic"/>
          <w:sz w:val="28"/>
          <w:szCs w:val="28"/>
        </w:rPr>
        <w:t xml:space="preserve">Materiais de Laboratório, </w:t>
      </w:r>
      <w:r w:rsidR="008476C5" w:rsidRPr="00202367">
        <w:rPr>
          <w:rFonts w:ascii="Century Gothic" w:hAnsi="Century Gothic"/>
          <w:sz w:val="28"/>
          <w:szCs w:val="28"/>
        </w:rPr>
        <w:t>para o Centro de Saúde II “Doutor Jorge Meirelles da Rocha”, localizado na Rua Riachuelo n</w:t>
      </w:r>
      <w:r w:rsidR="008476C5" w:rsidRPr="00202367">
        <w:rPr>
          <w:rFonts w:ascii="Century Gothic" w:hAnsi="Century Gothic"/>
          <w:bCs/>
          <w:sz w:val="28"/>
          <w:szCs w:val="28"/>
        </w:rPr>
        <w:t>° 910 – Centro – Pirajuí – SP,</w:t>
      </w:r>
      <w:r w:rsidR="008476C5" w:rsidRPr="00202367">
        <w:rPr>
          <w:rFonts w:ascii="Century Gothic" w:hAnsi="Century Gothic"/>
          <w:sz w:val="28"/>
          <w:szCs w:val="28"/>
        </w:rPr>
        <w:t xml:space="preserve"> conforme especificações constantes do </w:t>
      </w:r>
      <w:r w:rsidR="008476C5" w:rsidRPr="00202367">
        <w:rPr>
          <w:rFonts w:ascii="Century Gothic" w:hAnsi="Century Gothic"/>
          <w:b/>
          <w:bCs/>
          <w:sz w:val="28"/>
          <w:szCs w:val="28"/>
        </w:rPr>
        <w:t>Anexo II – Memorial Descritivo</w:t>
      </w:r>
      <w:r w:rsidR="008476C5" w:rsidRPr="000B4352">
        <w:rPr>
          <w:rFonts w:ascii="Century Gothic" w:hAnsi="Century Gothic" w:cs="Arial"/>
          <w:bCs/>
          <w:sz w:val="28"/>
          <w:szCs w:val="28"/>
        </w:rPr>
        <w:t>.</w:t>
      </w:r>
    </w:p>
    <w:p w:rsidR="008476C5" w:rsidRPr="00145DF5" w:rsidRDefault="008476C5" w:rsidP="00BE70D4">
      <w:pPr>
        <w:widowControl w:val="0"/>
        <w:jc w:val="both"/>
        <w:rPr>
          <w:rFonts w:ascii="Century Gothic" w:hAnsi="Century Gothic" w:cs="Arial"/>
          <w:b/>
          <w:bCs/>
          <w:i/>
          <w:iCs/>
          <w:sz w:val="28"/>
          <w:szCs w:val="28"/>
        </w:rPr>
      </w:pPr>
    </w:p>
    <w:tbl>
      <w:tblPr>
        <w:tblpPr w:leftFromText="141" w:rightFromText="141" w:vertAnchor="text" w:tblpXSpec="center" w:tblpY="1"/>
        <w:tblOverlap w:val="never"/>
        <w:tblW w:w="10703" w:type="dxa"/>
        <w:tblInd w:w="65" w:type="dxa"/>
        <w:tblCellMar>
          <w:left w:w="70" w:type="dxa"/>
          <w:right w:w="70" w:type="dxa"/>
        </w:tblCellMar>
        <w:tblLook w:val="04A0"/>
      </w:tblPr>
      <w:tblGrid>
        <w:gridCol w:w="714"/>
        <w:gridCol w:w="4394"/>
        <w:gridCol w:w="1276"/>
        <w:gridCol w:w="1657"/>
        <w:gridCol w:w="1320"/>
        <w:gridCol w:w="86"/>
        <w:gridCol w:w="1048"/>
        <w:gridCol w:w="208"/>
      </w:tblGrid>
      <w:tr w:rsidR="00997A59" w:rsidRPr="00C60AED" w:rsidTr="00F95766">
        <w:trPr>
          <w:gridAfter w:val="1"/>
          <w:wAfter w:w="208" w:type="dxa"/>
          <w:trHeight w:val="315"/>
        </w:trPr>
        <w:tc>
          <w:tcPr>
            <w:tcW w:w="714"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997A59" w:rsidRPr="00C60AED" w:rsidRDefault="00C60AED" w:rsidP="00C60AED">
            <w:pPr>
              <w:jc w:val="center"/>
              <w:rPr>
                <w:rFonts w:ascii="Century Gothic" w:hAnsi="Century Gothic" w:cs="Arial"/>
                <w:b/>
                <w:bCs/>
                <w:sz w:val="24"/>
                <w:szCs w:val="24"/>
              </w:rPr>
            </w:pPr>
            <w:r w:rsidRPr="00C60AED">
              <w:rPr>
                <w:rFonts w:ascii="Century Gothic" w:hAnsi="Century Gothic" w:cs="Arial"/>
                <w:b/>
                <w:bCs/>
                <w:sz w:val="24"/>
                <w:szCs w:val="24"/>
              </w:rPr>
              <w:t>ITEM</w:t>
            </w:r>
          </w:p>
        </w:tc>
        <w:tc>
          <w:tcPr>
            <w:tcW w:w="4394"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997A59" w:rsidRPr="00C60AED" w:rsidRDefault="00997A59" w:rsidP="00C60AED">
            <w:pPr>
              <w:jc w:val="center"/>
              <w:rPr>
                <w:rFonts w:ascii="Century Gothic" w:hAnsi="Century Gothic" w:cs="Arial"/>
                <w:b/>
                <w:bCs/>
                <w:sz w:val="24"/>
                <w:szCs w:val="24"/>
              </w:rPr>
            </w:pPr>
            <w:r w:rsidRPr="00C60AED">
              <w:rPr>
                <w:rFonts w:ascii="Century Gothic" w:hAnsi="Century Gothic" w:cs="Arial"/>
                <w:b/>
                <w:bCs/>
                <w:sz w:val="24"/>
                <w:szCs w:val="24"/>
              </w:rPr>
              <w:t>DISCRIMINAÇÃO</w:t>
            </w:r>
          </w:p>
        </w:tc>
        <w:tc>
          <w:tcPr>
            <w:tcW w:w="127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997A59" w:rsidRPr="00C60AED" w:rsidRDefault="00997A59" w:rsidP="00C60AED">
            <w:pPr>
              <w:jc w:val="center"/>
              <w:rPr>
                <w:rFonts w:ascii="Century Gothic" w:hAnsi="Century Gothic" w:cs="Arial"/>
                <w:b/>
                <w:bCs/>
                <w:sz w:val="24"/>
                <w:szCs w:val="24"/>
              </w:rPr>
            </w:pPr>
            <w:r w:rsidRPr="00C60AED">
              <w:rPr>
                <w:rFonts w:ascii="Century Gothic" w:hAnsi="Century Gothic" w:cs="Arial"/>
                <w:b/>
                <w:bCs/>
                <w:sz w:val="24"/>
                <w:szCs w:val="24"/>
              </w:rPr>
              <w:t>UNIDADE</w:t>
            </w:r>
          </w:p>
        </w:tc>
        <w:tc>
          <w:tcPr>
            <w:tcW w:w="1657"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997A59" w:rsidRPr="00C60AED" w:rsidRDefault="00997A59" w:rsidP="00C60AED">
            <w:pPr>
              <w:jc w:val="center"/>
              <w:rPr>
                <w:rFonts w:ascii="Century Gothic" w:hAnsi="Century Gothic" w:cs="Arial"/>
                <w:b/>
                <w:bCs/>
                <w:sz w:val="24"/>
                <w:szCs w:val="24"/>
              </w:rPr>
            </w:pPr>
            <w:r w:rsidRPr="00C60AED">
              <w:rPr>
                <w:rFonts w:ascii="Century Gothic" w:hAnsi="Century Gothic" w:cs="Arial"/>
                <w:b/>
                <w:bCs/>
                <w:sz w:val="24"/>
                <w:szCs w:val="24"/>
              </w:rPr>
              <w:t>QUANTIDADE</w:t>
            </w:r>
          </w:p>
        </w:tc>
        <w:tc>
          <w:tcPr>
            <w:tcW w:w="1320"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rsidR="00997A59" w:rsidRPr="00C60AED" w:rsidRDefault="00997A59" w:rsidP="00C60AED">
            <w:pPr>
              <w:jc w:val="center"/>
              <w:rPr>
                <w:rFonts w:ascii="Century Gothic" w:hAnsi="Century Gothic" w:cs="Arial"/>
                <w:b/>
                <w:sz w:val="24"/>
                <w:szCs w:val="24"/>
              </w:rPr>
            </w:pPr>
            <w:r w:rsidRPr="00C60AED">
              <w:rPr>
                <w:rFonts w:ascii="Century Gothic" w:hAnsi="Century Gothic" w:cs="Arial"/>
                <w:b/>
                <w:sz w:val="24"/>
                <w:szCs w:val="24"/>
              </w:rPr>
              <w:t>VALOR UNITÁRIO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rsidR="00997A59" w:rsidRPr="00C60AED" w:rsidRDefault="00997A59" w:rsidP="00C60AED">
            <w:pPr>
              <w:jc w:val="center"/>
              <w:rPr>
                <w:rFonts w:ascii="Century Gothic" w:hAnsi="Century Gothic" w:cs="Arial"/>
                <w:b/>
                <w:sz w:val="24"/>
                <w:szCs w:val="24"/>
              </w:rPr>
            </w:pPr>
            <w:r w:rsidRPr="00C60AED">
              <w:rPr>
                <w:rFonts w:ascii="Century Gothic" w:hAnsi="Century Gothic" w:cs="Arial"/>
                <w:b/>
                <w:sz w:val="24"/>
                <w:szCs w:val="24"/>
              </w:rPr>
              <w:t>VALOR TOTAL</w:t>
            </w:r>
          </w:p>
        </w:tc>
      </w:tr>
      <w:tr w:rsidR="00997A59" w:rsidRPr="00997A59" w:rsidTr="00F95766">
        <w:trPr>
          <w:gridAfter w:val="1"/>
          <w:wAfter w:w="208" w:type="dxa"/>
          <w:trHeight w:val="315"/>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nil"/>
              <w:bottom w:val="single" w:sz="4" w:space="0" w:color="auto"/>
              <w:right w:val="single" w:sz="4" w:space="0" w:color="000000"/>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Adaptador de agulhas para coleta de sangue  a vácuo</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Unidade</w:t>
            </w:r>
          </w:p>
        </w:tc>
        <w:tc>
          <w:tcPr>
            <w:tcW w:w="1657" w:type="dxa"/>
            <w:tcBorders>
              <w:top w:val="single" w:sz="4" w:space="0" w:color="auto"/>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500</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A59" w:rsidRPr="00C60AED" w:rsidRDefault="00997A59" w:rsidP="00997A59">
            <w:pPr>
              <w:rPr>
                <w:rFonts w:ascii="Century Gothic" w:hAnsi="Century Gothic" w:cs="Arial"/>
                <w:sz w:val="24"/>
                <w:szCs w:val="24"/>
              </w:rPr>
            </w:pPr>
            <w:r w:rsidRPr="00C60AED">
              <w:rPr>
                <w:rFonts w:ascii="Century Gothic" w:hAnsi="Century Gothic" w:cs="Arial"/>
                <w:sz w:val="24"/>
                <w:szCs w:val="24"/>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997A59" w:rsidRPr="00C60AED" w:rsidRDefault="00997A59" w:rsidP="00997A59">
            <w:pPr>
              <w:rPr>
                <w:rFonts w:ascii="Century Gothic" w:hAnsi="Century Gothic" w:cs="Arial"/>
                <w:sz w:val="24"/>
                <w:szCs w:val="24"/>
              </w:rPr>
            </w:pPr>
            <w:r w:rsidRPr="00C60AED">
              <w:rPr>
                <w:rFonts w:ascii="Century Gothic" w:hAnsi="Century Gothic" w:cs="Arial"/>
                <w:sz w:val="24"/>
                <w:szCs w:val="24"/>
              </w:rPr>
              <w:t> </w:t>
            </w:r>
          </w:p>
        </w:tc>
      </w:tr>
      <w:tr w:rsidR="00997A59" w:rsidRPr="00997A59" w:rsidTr="00F95766">
        <w:trPr>
          <w:gridAfter w:val="1"/>
          <w:wAfter w:w="208" w:type="dxa"/>
          <w:trHeight w:val="31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nil"/>
              <w:bottom w:val="single" w:sz="4" w:space="0" w:color="auto"/>
              <w:right w:val="single" w:sz="4" w:space="0" w:color="000000"/>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Água destilada de 5 litros</w:t>
            </w:r>
          </w:p>
        </w:tc>
        <w:tc>
          <w:tcPr>
            <w:tcW w:w="1276"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Galão</w:t>
            </w:r>
          </w:p>
        </w:tc>
        <w:tc>
          <w:tcPr>
            <w:tcW w:w="1657"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250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997A59" w:rsidRPr="00C60AED" w:rsidRDefault="00997A59" w:rsidP="00997A59">
            <w:pPr>
              <w:rPr>
                <w:rFonts w:ascii="Century Gothic" w:hAnsi="Century Gothic" w:cs="Arial"/>
                <w:sz w:val="24"/>
                <w:szCs w:val="24"/>
              </w:rPr>
            </w:pPr>
            <w:r w:rsidRPr="00C60AED">
              <w:rPr>
                <w:rFonts w:ascii="Century Gothic" w:hAnsi="Century Gothic" w:cs="Arial"/>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97A59" w:rsidRPr="00C60AED" w:rsidRDefault="00997A59" w:rsidP="00997A59">
            <w:pPr>
              <w:rPr>
                <w:rFonts w:ascii="Century Gothic" w:hAnsi="Century Gothic" w:cs="Arial"/>
                <w:sz w:val="24"/>
                <w:szCs w:val="24"/>
              </w:rPr>
            </w:pPr>
            <w:r w:rsidRPr="00C60AED">
              <w:rPr>
                <w:rFonts w:ascii="Century Gothic" w:hAnsi="Century Gothic" w:cs="Arial"/>
                <w:sz w:val="24"/>
                <w:szCs w:val="24"/>
              </w:rPr>
              <w:t> </w:t>
            </w:r>
          </w:p>
        </w:tc>
      </w:tr>
      <w:tr w:rsidR="00997A59" w:rsidRPr="00997A59" w:rsidTr="00F95766">
        <w:trPr>
          <w:gridAfter w:val="1"/>
          <w:wAfter w:w="208" w:type="dxa"/>
          <w:trHeight w:val="315"/>
        </w:trPr>
        <w:tc>
          <w:tcPr>
            <w:tcW w:w="714" w:type="dxa"/>
            <w:tcBorders>
              <w:top w:val="nil"/>
              <w:left w:val="single" w:sz="4" w:space="0" w:color="auto"/>
              <w:bottom w:val="single" w:sz="4" w:space="0" w:color="auto"/>
              <w:right w:val="nil"/>
            </w:tcBorders>
            <w:shd w:val="clear" w:color="auto" w:fill="auto"/>
            <w:noWrap/>
            <w:vAlign w:val="center"/>
            <w:hideMark/>
          </w:tcPr>
          <w:p w:rsidR="00997A59" w:rsidRPr="00C60AED" w:rsidRDefault="00997A59"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nil"/>
              <w:left w:val="single" w:sz="4" w:space="0" w:color="auto"/>
              <w:bottom w:val="single" w:sz="4" w:space="0" w:color="auto"/>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Agulhas de coleta múltipla p/ tubo à vácuo 25 x 7 c/ trava de segurança</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Caixa</w:t>
            </w:r>
          </w:p>
        </w:tc>
        <w:tc>
          <w:tcPr>
            <w:tcW w:w="1657"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150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997A59" w:rsidRPr="00C60AED" w:rsidRDefault="00997A59" w:rsidP="00997A59">
            <w:pPr>
              <w:rPr>
                <w:rFonts w:ascii="Century Gothic" w:hAnsi="Century Gothic" w:cs="Arial"/>
                <w:sz w:val="24"/>
                <w:szCs w:val="24"/>
              </w:rPr>
            </w:pPr>
            <w:r w:rsidRPr="00C60AED">
              <w:rPr>
                <w:rFonts w:ascii="Century Gothic" w:hAnsi="Century Gothic" w:cs="Arial"/>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97A59" w:rsidRPr="00C60AED" w:rsidRDefault="00997A59" w:rsidP="00997A59">
            <w:pPr>
              <w:rPr>
                <w:rFonts w:ascii="Century Gothic" w:hAnsi="Century Gothic" w:cs="Arial"/>
                <w:sz w:val="24"/>
                <w:szCs w:val="24"/>
              </w:rPr>
            </w:pPr>
            <w:r w:rsidRPr="00C60AED">
              <w:rPr>
                <w:rFonts w:ascii="Century Gothic" w:hAnsi="Century Gothic" w:cs="Arial"/>
                <w:sz w:val="24"/>
                <w:szCs w:val="24"/>
              </w:rPr>
              <w:t> </w:t>
            </w:r>
          </w:p>
        </w:tc>
      </w:tr>
      <w:tr w:rsidR="00997A59" w:rsidRPr="00997A59" w:rsidTr="00F95766">
        <w:trPr>
          <w:gridAfter w:val="1"/>
          <w:wAfter w:w="208" w:type="dxa"/>
          <w:trHeight w:val="31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Agulhas de coleta múltipla p/ tubo à vácuo 25 x 8 c/ trava de segurança</w:t>
            </w:r>
          </w:p>
        </w:tc>
        <w:tc>
          <w:tcPr>
            <w:tcW w:w="1276"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Caixa</w:t>
            </w:r>
          </w:p>
        </w:tc>
        <w:tc>
          <w:tcPr>
            <w:tcW w:w="1657"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140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997A59" w:rsidRPr="00C60AED" w:rsidRDefault="00997A59" w:rsidP="00997A59">
            <w:pPr>
              <w:rPr>
                <w:rFonts w:ascii="Century Gothic" w:hAnsi="Century Gothic" w:cs="Arial"/>
                <w:sz w:val="24"/>
                <w:szCs w:val="24"/>
              </w:rPr>
            </w:pPr>
            <w:r w:rsidRPr="00C60AED">
              <w:rPr>
                <w:rFonts w:ascii="Century Gothic" w:hAnsi="Century Gothic" w:cs="Arial"/>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97A59" w:rsidRPr="00C60AED" w:rsidRDefault="00997A59" w:rsidP="00997A59">
            <w:pPr>
              <w:rPr>
                <w:rFonts w:ascii="Century Gothic" w:hAnsi="Century Gothic" w:cs="Arial"/>
                <w:sz w:val="24"/>
                <w:szCs w:val="24"/>
              </w:rPr>
            </w:pPr>
            <w:r w:rsidRPr="00C60AED">
              <w:rPr>
                <w:rFonts w:ascii="Century Gothic" w:hAnsi="Century Gothic" w:cs="Arial"/>
                <w:sz w:val="24"/>
                <w:szCs w:val="24"/>
              </w:rPr>
              <w:t> </w:t>
            </w:r>
          </w:p>
        </w:tc>
      </w:tr>
      <w:tr w:rsidR="00997A59" w:rsidRPr="00997A59" w:rsidTr="00F95766">
        <w:trPr>
          <w:gridAfter w:val="1"/>
          <w:wAfter w:w="208" w:type="dxa"/>
          <w:trHeight w:val="31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Álcool isopropílico 1000 ml</w:t>
            </w:r>
          </w:p>
        </w:tc>
        <w:tc>
          <w:tcPr>
            <w:tcW w:w="1276"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Unidade</w:t>
            </w:r>
          </w:p>
        </w:tc>
        <w:tc>
          <w:tcPr>
            <w:tcW w:w="1657"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2</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997A59" w:rsidRPr="00C60AED" w:rsidRDefault="00997A59" w:rsidP="00997A59">
            <w:pPr>
              <w:rPr>
                <w:rFonts w:ascii="Century Gothic" w:hAnsi="Century Gothic" w:cs="Arial"/>
                <w:sz w:val="24"/>
                <w:szCs w:val="24"/>
              </w:rPr>
            </w:pPr>
            <w:r w:rsidRPr="00C60AED">
              <w:rPr>
                <w:rFonts w:ascii="Century Gothic" w:hAnsi="Century Gothic" w:cs="Arial"/>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97A59" w:rsidRPr="00C60AED" w:rsidRDefault="00997A59" w:rsidP="00997A59">
            <w:pPr>
              <w:rPr>
                <w:rFonts w:ascii="Century Gothic" w:hAnsi="Century Gothic" w:cs="Arial"/>
                <w:sz w:val="24"/>
                <w:szCs w:val="24"/>
              </w:rPr>
            </w:pPr>
            <w:r w:rsidRPr="00C60AED">
              <w:rPr>
                <w:rFonts w:ascii="Century Gothic" w:hAnsi="Century Gothic" w:cs="Arial"/>
                <w:sz w:val="24"/>
                <w:szCs w:val="24"/>
              </w:rPr>
              <w:t> </w:t>
            </w:r>
          </w:p>
        </w:tc>
      </w:tr>
      <w:tr w:rsidR="00997A59" w:rsidRPr="00997A59" w:rsidTr="00F95766">
        <w:trPr>
          <w:gridAfter w:val="1"/>
          <w:wAfter w:w="208" w:type="dxa"/>
          <w:trHeight w:val="31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Calculadora simples</w:t>
            </w:r>
          </w:p>
        </w:tc>
        <w:tc>
          <w:tcPr>
            <w:tcW w:w="1276"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Unidade</w:t>
            </w:r>
          </w:p>
        </w:tc>
        <w:tc>
          <w:tcPr>
            <w:tcW w:w="1657"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2</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997A59" w:rsidRPr="00C60AED" w:rsidRDefault="00997A59" w:rsidP="00997A59">
            <w:pPr>
              <w:rPr>
                <w:rFonts w:ascii="Century Gothic" w:hAnsi="Century Gothic" w:cs="Arial"/>
                <w:sz w:val="24"/>
                <w:szCs w:val="24"/>
              </w:rPr>
            </w:pPr>
            <w:r w:rsidRPr="00C60AED">
              <w:rPr>
                <w:rFonts w:ascii="Century Gothic" w:hAnsi="Century Gothic" w:cs="Arial"/>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97A59" w:rsidRPr="00C60AED" w:rsidRDefault="00997A59" w:rsidP="00997A59">
            <w:pPr>
              <w:rPr>
                <w:rFonts w:ascii="Century Gothic" w:hAnsi="Century Gothic" w:cs="Arial"/>
                <w:sz w:val="24"/>
                <w:szCs w:val="24"/>
              </w:rPr>
            </w:pPr>
            <w:r w:rsidRPr="00C60AED">
              <w:rPr>
                <w:rFonts w:ascii="Century Gothic" w:hAnsi="Century Gothic" w:cs="Arial"/>
                <w:sz w:val="24"/>
                <w:szCs w:val="24"/>
              </w:rPr>
              <w:t> </w:t>
            </w:r>
          </w:p>
        </w:tc>
      </w:tr>
      <w:tr w:rsidR="00997A59" w:rsidRPr="00997A59" w:rsidTr="00F95766">
        <w:trPr>
          <w:gridAfter w:val="1"/>
          <w:wAfter w:w="208" w:type="dxa"/>
          <w:trHeight w:val="300"/>
        </w:trPr>
        <w:tc>
          <w:tcPr>
            <w:tcW w:w="714" w:type="dxa"/>
            <w:tcBorders>
              <w:top w:val="nil"/>
              <w:left w:val="single" w:sz="4" w:space="0" w:color="auto"/>
              <w:bottom w:val="single" w:sz="4" w:space="0" w:color="auto"/>
              <w:right w:val="nil"/>
            </w:tcBorders>
            <w:shd w:val="clear" w:color="auto" w:fill="auto"/>
            <w:noWrap/>
            <w:vAlign w:val="center"/>
            <w:hideMark/>
          </w:tcPr>
          <w:p w:rsidR="00997A59" w:rsidRPr="00C60AED" w:rsidRDefault="00997A59"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Calibrador de Glicohemoglobina</w:t>
            </w:r>
          </w:p>
        </w:tc>
        <w:tc>
          <w:tcPr>
            <w:tcW w:w="1276"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Caixa</w:t>
            </w:r>
          </w:p>
        </w:tc>
        <w:tc>
          <w:tcPr>
            <w:tcW w:w="1657"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5</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997A59" w:rsidRPr="00C60AED" w:rsidRDefault="00997A59" w:rsidP="00997A59">
            <w:pPr>
              <w:rPr>
                <w:rFonts w:ascii="Century Gothic" w:hAnsi="Century Gothic" w:cs="Arial"/>
                <w:sz w:val="24"/>
                <w:szCs w:val="24"/>
              </w:rPr>
            </w:pPr>
            <w:r w:rsidRPr="00C60AED">
              <w:rPr>
                <w:rFonts w:ascii="Century Gothic" w:hAnsi="Century Gothic" w:cs="Arial"/>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97A59" w:rsidRPr="00C60AED" w:rsidRDefault="00997A59" w:rsidP="00997A59">
            <w:pPr>
              <w:rPr>
                <w:rFonts w:ascii="Century Gothic" w:hAnsi="Century Gothic" w:cs="Arial"/>
                <w:sz w:val="24"/>
                <w:szCs w:val="24"/>
              </w:rPr>
            </w:pPr>
            <w:r w:rsidRPr="00C60AED">
              <w:rPr>
                <w:rFonts w:ascii="Century Gothic" w:hAnsi="Century Gothic" w:cs="Arial"/>
                <w:sz w:val="24"/>
                <w:szCs w:val="24"/>
              </w:rPr>
              <w:t> </w:t>
            </w:r>
          </w:p>
        </w:tc>
      </w:tr>
      <w:tr w:rsidR="00997A59" w:rsidRPr="00997A59" w:rsidTr="00F95766">
        <w:trPr>
          <w:gridAfter w:val="1"/>
          <w:wAfter w:w="208" w:type="dxa"/>
          <w:trHeight w:val="31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Cálice de sedimentação com suporte para exames de fezes tamanho pequeno</w:t>
            </w:r>
          </w:p>
        </w:tc>
        <w:tc>
          <w:tcPr>
            <w:tcW w:w="1276"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Unidade</w:t>
            </w:r>
          </w:p>
        </w:tc>
        <w:tc>
          <w:tcPr>
            <w:tcW w:w="1657"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50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997A59" w:rsidRPr="00C60AED" w:rsidRDefault="00997A59" w:rsidP="00997A59">
            <w:pPr>
              <w:rPr>
                <w:rFonts w:ascii="Century Gothic" w:hAnsi="Century Gothic" w:cs="Arial"/>
                <w:sz w:val="24"/>
                <w:szCs w:val="24"/>
              </w:rPr>
            </w:pPr>
            <w:r w:rsidRPr="00C60AED">
              <w:rPr>
                <w:rFonts w:ascii="Century Gothic" w:hAnsi="Century Gothic" w:cs="Arial"/>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97A59" w:rsidRPr="00C60AED" w:rsidRDefault="00997A59" w:rsidP="00997A59">
            <w:pPr>
              <w:rPr>
                <w:rFonts w:ascii="Century Gothic" w:hAnsi="Century Gothic" w:cs="Arial"/>
                <w:sz w:val="24"/>
                <w:szCs w:val="24"/>
              </w:rPr>
            </w:pPr>
            <w:r w:rsidRPr="00C60AED">
              <w:rPr>
                <w:rFonts w:ascii="Century Gothic" w:hAnsi="Century Gothic" w:cs="Arial"/>
                <w:sz w:val="24"/>
                <w:szCs w:val="24"/>
              </w:rPr>
              <w:t> </w:t>
            </w:r>
          </w:p>
        </w:tc>
      </w:tr>
      <w:tr w:rsidR="00997A59" w:rsidRPr="00997A59" w:rsidTr="00F95766">
        <w:trPr>
          <w:gridAfter w:val="1"/>
          <w:wAfter w:w="208" w:type="dxa"/>
          <w:trHeight w:val="30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Caneta de retroprojetor preta</w:t>
            </w:r>
          </w:p>
        </w:tc>
        <w:tc>
          <w:tcPr>
            <w:tcW w:w="1276"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Caixa</w:t>
            </w:r>
          </w:p>
        </w:tc>
        <w:tc>
          <w:tcPr>
            <w:tcW w:w="1657"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60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997A59" w:rsidRPr="00C60AED" w:rsidRDefault="00997A59" w:rsidP="00997A59">
            <w:pPr>
              <w:rPr>
                <w:rFonts w:ascii="Century Gothic" w:hAnsi="Century Gothic" w:cs="Arial"/>
                <w:sz w:val="24"/>
                <w:szCs w:val="24"/>
              </w:rPr>
            </w:pPr>
            <w:r w:rsidRPr="00C60AED">
              <w:rPr>
                <w:rFonts w:ascii="Century Gothic" w:hAnsi="Century Gothic" w:cs="Arial"/>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97A59" w:rsidRPr="00C60AED" w:rsidRDefault="00997A59" w:rsidP="00997A59">
            <w:pPr>
              <w:rPr>
                <w:rFonts w:ascii="Century Gothic" w:hAnsi="Century Gothic" w:cs="Arial"/>
                <w:sz w:val="24"/>
                <w:szCs w:val="24"/>
              </w:rPr>
            </w:pPr>
            <w:r w:rsidRPr="00C60AED">
              <w:rPr>
                <w:rFonts w:ascii="Century Gothic" w:hAnsi="Century Gothic" w:cs="Arial"/>
                <w:sz w:val="24"/>
                <w:szCs w:val="24"/>
              </w:rPr>
              <w:t> </w:t>
            </w:r>
          </w:p>
        </w:tc>
      </w:tr>
      <w:tr w:rsidR="00997A59" w:rsidRPr="00997A59" w:rsidTr="00F95766">
        <w:trPr>
          <w:gridAfter w:val="1"/>
          <w:wAfter w:w="208" w:type="dxa"/>
          <w:trHeight w:val="30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Caneta de retroprojetor azul</w:t>
            </w:r>
          </w:p>
        </w:tc>
        <w:tc>
          <w:tcPr>
            <w:tcW w:w="1276"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Caixa</w:t>
            </w:r>
          </w:p>
        </w:tc>
        <w:tc>
          <w:tcPr>
            <w:tcW w:w="1657"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60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997A59" w:rsidRPr="00C60AED" w:rsidRDefault="00997A59" w:rsidP="00997A59">
            <w:pPr>
              <w:rPr>
                <w:rFonts w:ascii="Century Gothic" w:hAnsi="Century Gothic" w:cs="Arial"/>
                <w:sz w:val="24"/>
                <w:szCs w:val="24"/>
              </w:rPr>
            </w:pPr>
            <w:r w:rsidRPr="00C60AED">
              <w:rPr>
                <w:rFonts w:ascii="Century Gothic" w:hAnsi="Century Gothic" w:cs="Arial"/>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97A59" w:rsidRPr="00C60AED" w:rsidRDefault="00997A59" w:rsidP="00997A59">
            <w:pPr>
              <w:rPr>
                <w:rFonts w:ascii="Century Gothic" w:hAnsi="Century Gothic" w:cs="Arial"/>
                <w:sz w:val="24"/>
                <w:szCs w:val="24"/>
              </w:rPr>
            </w:pPr>
            <w:r w:rsidRPr="00C60AED">
              <w:rPr>
                <w:rFonts w:ascii="Century Gothic" w:hAnsi="Century Gothic" w:cs="Arial"/>
                <w:sz w:val="24"/>
                <w:szCs w:val="24"/>
              </w:rPr>
              <w:t> </w:t>
            </w:r>
          </w:p>
        </w:tc>
      </w:tr>
      <w:tr w:rsidR="00997A59" w:rsidRPr="00997A59" w:rsidTr="00F95766">
        <w:trPr>
          <w:gridAfter w:val="1"/>
          <w:wAfter w:w="208" w:type="dxa"/>
          <w:trHeight w:val="315"/>
        </w:trPr>
        <w:tc>
          <w:tcPr>
            <w:tcW w:w="714" w:type="dxa"/>
            <w:tcBorders>
              <w:top w:val="nil"/>
              <w:left w:val="single" w:sz="4" w:space="0" w:color="auto"/>
              <w:bottom w:val="single" w:sz="4" w:space="0" w:color="auto"/>
              <w:right w:val="nil"/>
            </w:tcBorders>
            <w:shd w:val="clear" w:color="auto" w:fill="auto"/>
            <w:noWrap/>
            <w:vAlign w:val="center"/>
            <w:hideMark/>
          </w:tcPr>
          <w:p w:rsidR="00997A59" w:rsidRPr="00C60AED" w:rsidRDefault="00997A59"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Canudinhos plásticos de calibre pequeno</w:t>
            </w:r>
          </w:p>
        </w:tc>
        <w:tc>
          <w:tcPr>
            <w:tcW w:w="1276"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Unidade</w:t>
            </w:r>
          </w:p>
        </w:tc>
        <w:tc>
          <w:tcPr>
            <w:tcW w:w="1657"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3.000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997A59" w:rsidRPr="00C60AED" w:rsidRDefault="00997A59" w:rsidP="00997A59">
            <w:pPr>
              <w:rPr>
                <w:rFonts w:ascii="Century Gothic" w:hAnsi="Century Gothic" w:cs="Arial"/>
                <w:sz w:val="24"/>
                <w:szCs w:val="24"/>
              </w:rPr>
            </w:pPr>
            <w:r w:rsidRPr="00C60AED">
              <w:rPr>
                <w:rFonts w:ascii="Century Gothic" w:hAnsi="Century Gothic" w:cs="Arial"/>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97A59" w:rsidRPr="00C60AED" w:rsidRDefault="00997A59" w:rsidP="00997A59">
            <w:pPr>
              <w:rPr>
                <w:rFonts w:ascii="Century Gothic" w:hAnsi="Century Gothic" w:cs="Arial"/>
                <w:sz w:val="24"/>
                <w:szCs w:val="24"/>
              </w:rPr>
            </w:pPr>
            <w:r w:rsidRPr="00C60AED">
              <w:rPr>
                <w:rFonts w:ascii="Century Gothic" w:hAnsi="Century Gothic" w:cs="Arial"/>
                <w:sz w:val="24"/>
                <w:szCs w:val="24"/>
              </w:rPr>
              <w:t> </w:t>
            </w:r>
          </w:p>
        </w:tc>
      </w:tr>
      <w:tr w:rsidR="00997A59" w:rsidRPr="00997A59" w:rsidTr="00F95766">
        <w:trPr>
          <w:gridAfter w:val="1"/>
          <w:wAfter w:w="208" w:type="dxa"/>
          <w:trHeight w:val="31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Coador plástico pequeno 7,5 cm</w:t>
            </w:r>
          </w:p>
        </w:tc>
        <w:tc>
          <w:tcPr>
            <w:tcW w:w="1276"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Unidade</w:t>
            </w:r>
          </w:p>
        </w:tc>
        <w:tc>
          <w:tcPr>
            <w:tcW w:w="1657"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12</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997A59" w:rsidRPr="00C60AED" w:rsidRDefault="00997A59" w:rsidP="00997A59">
            <w:pPr>
              <w:rPr>
                <w:rFonts w:ascii="Century Gothic" w:hAnsi="Century Gothic" w:cs="Arial"/>
                <w:sz w:val="24"/>
                <w:szCs w:val="24"/>
              </w:rPr>
            </w:pPr>
            <w:r w:rsidRPr="00C60AED">
              <w:rPr>
                <w:rFonts w:ascii="Century Gothic" w:hAnsi="Century Gothic" w:cs="Arial"/>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97A59" w:rsidRPr="00C60AED" w:rsidRDefault="00997A59" w:rsidP="00997A59">
            <w:pPr>
              <w:rPr>
                <w:rFonts w:ascii="Century Gothic" w:hAnsi="Century Gothic" w:cs="Arial"/>
                <w:sz w:val="24"/>
                <w:szCs w:val="24"/>
              </w:rPr>
            </w:pPr>
            <w:r w:rsidRPr="00C60AED">
              <w:rPr>
                <w:rFonts w:ascii="Century Gothic" w:hAnsi="Century Gothic" w:cs="Arial"/>
                <w:sz w:val="24"/>
                <w:szCs w:val="24"/>
              </w:rPr>
              <w:t> </w:t>
            </w:r>
          </w:p>
        </w:tc>
      </w:tr>
      <w:tr w:rsidR="00997A59" w:rsidRPr="00997A59" w:rsidTr="00F95766">
        <w:trPr>
          <w:gridAfter w:val="1"/>
          <w:wAfter w:w="208" w:type="dxa"/>
          <w:trHeight w:val="31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nil"/>
              <w:bottom w:val="single" w:sz="4" w:space="0" w:color="auto"/>
              <w:right w:val="single" w:sz="4" w:space="0" w:color="000000"/>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Coletor universal c/ vedação hermética, travamento com até 1/4 de volta não estéril</w:t>
            </w:r>
          </w:p>
        </w:tc>
        <w:tc>
          <w:tcPr>
            <w:tcW w:w="1276"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Unidade</w:t>
            </w:r>
          </w:p>
        </w:tc>
        <w:tc>
          <w:tcPr>
            <w:tcW w:w="1657"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7.000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997A59" w:rsidRPr="00C60AED" w:rsidRDefault="00997A59" w:rsidP="00997A59">
            <w:pPr>
              <w:rPr>
                <w:rFonts w:ascii="Century Gothic" w:hAnsi="Century Gothic" w:cs="Arial"/>
                <w:sz w:val="24"/>
                <w:szCs w:val="24"/>
              </w:rPr>
            </w:pPr>
            <w:r w:rsidRPr="00C60AED">
              <w:rPr>
                <w:rFonts w:ascii="Century Gothic" w:hAnsi="Century Gothic" w:cs="Arial"/>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97A59" w:rsidRPr="00C60AED" w:rsidRDefault="00997A59" w:rsidP="00997A59">
            <w:pPr>
              <w:rPr>
                <w:rFonts w:ascii="Century Gothic" w:hAnsi="Century Gothic" w:cs="Arial"/>
                <w:sz w:val="24"/>
                <w:szCs w:val="24"/>
              </w:rPr>
            </w:pPr>
            <w:r w:rsidRPr="00C60AED">
              <w:rPr>
                <w:rFonts w:ascii="Century Gothic" w:hAnsi="Century Gothic" w:cs="Arial"/>
                <w:sz w:val="24"/>
                <w:szCs w:val="24"/>
              </w:rPr>
              <w:t> </w:t>
            </w:r>
          </w:p>
        </w:tc>
      </w:tr>
      <w:tr w:rsidR="00997A59" w:rsidRPr="00997A59" w:rsidTr="00F95766">
        <w:trPr>
          <w:gridAfter w:val="1"/>
          <w:wAfter w:w="208" w:type="dxa"/>
          <w:trHeight w:val="31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Coletor universal c/ vedação hermética, travamento com até 1/4 de volta estéril</w:t>
            </w:r>
          </w:p>
        </w:tc>
        <w:tc>
          <w:tcPr>
            <w:tcW w:w="1276"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Unidade</w:t>
            </w:r>
          </w:p>
        </w:tc>
        <w:tc>
          <w:tcPr>
            <w:tcW w:w="1657"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7.000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997A59" w:rsidRPr="00C60AED" w:rsidRDefault="00997A59" w:rsidP="00997A59">
            <w:pPr>
              <w:rPr>
                <w:rFonts w:ascii="Century Gothic" w:hAnsi="Century Gothic" w:cs="Arial"/>
                <w:sz w:val="24"/>
                <w:szCs w:val="24"/>
              </w:rPr>
            </w:pPr>
            <w:r w:rsidRPr="00C60AED">
              <w:rPr>
                <w:rFonts w:ascii="Century Gothic" w:hAnsi="Century Gothic" w:cs="Arial"/>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97A59" w:rsidRPr="00C60AED" w:rsidRDefault="00997A59" w:rsidP="00997A59">
            <w:pPr>
              <w:rPr>
                <w:rFonts w:ascii="Century Gothic" w:hAnsi="Century Gothic" w:cs="Arial"/>
                <w:sz w:val="24"/>
                <w:szCs w:val="24"/>
              </w:rPr>
            </w:pPr>
            <w:r w:rsidRPr="00C60AED">
              <w:rPr>
                <w:rFonts w:ascii="Century Gothic" w:hAnsi="Century Gothic" w:cs="Arial"/>
                <w:sz w:val="24"/>
                <w:szCs w:val="24"/>
              </w:rPr>
              <w:t> </w:t>
            </w:r>
          </w:p>
        </w:tc>
      </w:tr>
      <w:tr w:rsidR="00997A59" w:rsidRPr="00997A59" w:rsidTr="00F95766">
        <w:trPr>
          <w:gridAfter w:val="1"/>
          <w:wAfter w:w="208" w:type="dxa"/>
          <w:trHeight w:val="315"/>
        </w:trPr>
        <w:tc>
          <w:tcPr>
            <w:tcW w:w="714" w:type="dxa"/>
            <w:tcBorders>
              <w:top w:val="nil"/>
              <w:left w:val="single" w:sz="4" w:space="0" w:color="auto"/>
              <w:bottom w:val="single" w:sz="4" w:space="0" w:color="auto"/>
              <w:right w:val="nil"/>
            </w:tcBorders>
            <w:shd w:val="clear" w:color="auto" w:fill="auto"/>
            <w:noWrap/>
            <w:vAlign w:val="center"/>
            <w:hideMark/>
          </w:tcPr>
          <w:p w:rsidR="00997A59" w:rsidRPr="00C60AED" w:rsidRDefault="00997A59"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Coletores infantis de urina femininos c/ 10 unidades cada</w:t>
            </w:r>
          </w:p>
        </w:tc>
        <w:tc>
          <w:tcPr>
            <w:tcW w:w="1276"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Caixa</w:t>
            </w:r>
          </w:p>
        </w:tc>
        <w:tc>
          <w:tcPr>
            <w:tcW w:w="1657"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24</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997A59" w:rsidRPr="00C60AED" w:rsidRDefault="00997A59" w:rsidP="00997A59">
            <w:pPr>
              <w:rPr>
                <w:rFonts w:ascii="Century Gothic" w:hAnsi="Century Gothic" w:cs="Arial"/>
                <w:sz w:val="24"/>
                <w:szCs w:val="24"/>
              </w:rPr>
            </w:pPr>
            <w:r w:rsidRPr="00C60AED">
              <w:rPr>
                <w:rFonts w:ascii="Century Gothic" w:hAnsi="Century Gothic" w:cs="Arial"/>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97A59" w:rsidRPr="00C60AED" w:rsidRDefault="00997A59" w:rsidP="00997A59">
            <w:pPr>
              <w:rPr>
                <w:rFonts w:ascii="Century Gothic" w:hAnsi="Century Gothic" w:cs="Arial"/>
                <w:sz w:val="24"/>
                <w:szCs w:val="24"/>
              </w:rPr>
            </w:pPr>
            <w:r w:rsidRPr="00C60AED">
              <w:rPr>
                <w:rFonts w:ascii="Century Gothic" w:hAnsi="Century Gothic" w:cs="Arial"/>
                <w:sz w:val="24"/>
                <w:szCs w:val="24"/>
              </w:rPr>
              <w:t> </w:t>
            </w:r>
          </w:p>
        </w:tc>
      </w:tr>
      <w:tr w:rsidR="00997A59" w:rsidRPr="00997A59" w:rsidTr="00F95766">
        <w:trPr>
          <w:gridAfter w:val="1"/>
          <w:wAfter w:w="208" w:type="dxa"/>
          <w:trHeight w:val="31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nil"/>
              <w:bottom w:val="nil"/>
              <w:right w:val="single" w:sz="4" w:space="0" w:color="auto"/>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Coletores infantis de urina masculinos c/ 10 unidades cada</w:t>
            </w:r>
          </w:p>
        </w:tc>
        <w:tc>
          <w:tcPr>
            <w:tcW w:w="1276"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Caixa</w:t>
            </w:r>
          </w:p>
        </w:tc>
        <w:tc>
          <w:tcPr>
            <w:tcW w:w="1657"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24</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997A59" w:rsidRPr="00C60AED" w:rsidRDefault="00997A59" w:rsidP="00997A59">
            <w:pPr>
              <w:rPr>
                <w:rFonts w:ascii="Century Gothic" w:hAnsi="Century Gothic" w:cs="Arial"/>
                <w:sz w:val="24"/>
                <w:szCs w:val="24"/>
              </w:rPr>
            </w:pPr>
            <w:r w:rsidRPr="00C60AED">
              <w:rPr>
                <w:rFonts w:ascii="Century Gothic" w:hAnsi="Century Gothic" w:cs="Arial"/>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97A59" w:rsidRPr="00C60AED" w:rsidRDefault="00997A59" w:rsidP="00997A59">
            <w:pPr>
              <w:rPr>
                <w:rFonts w:ascii="Century Gothic" w:hAnsi="Century Gothic" w:cs="Arial"/>
                <w:sz w:val="24"/>
                <w:szCs w:val="24"/>
              </w:rPr>
            </w:pPr>
            <w:r w:rsidRPr="00C60AED">
              <w:rPr>
                <w:rFonts w:ascii="Century Gothic" w:hAnsi="Century Gothic" w:cs="Arial"/>
                <w:sz w:val="24"/>
                <w:szCs w:val="24"/>
              </w:rPr>
              <w:t> </w:t>
            </w:r>
          </w:p>
        </w:tc>
      </w:tr>
      <w:tr w:rsidR="00997A59" w:rsidRPr="00997A59" w:rsidTr="00F95766">
        <w:trPr>
          <w:gridAfter w:val="1"/>
          <w:wAfter w:w="208" w:type="dxa"/>
          <w:trHeight w:val="315"/>
        </w:trPr>
        <w:tc>
          <w:tcPr>
            <w:tcW w:w="7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97A59" w:rsidRPr="00C60AED" w:rsidRDefault="00997A59"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nil"/>
              <w:bottom w:val="nil"/>
              <w:right w:val="single" w:sz="4" w:space="0" w:color="000000"/>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 xml:space="preserve">Cronômetro digital resistente à água, para uso em laboratórios, marca horaminutose- </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Unidade</w:t>
            </w:r>
          </w:p>
        </w:tc>
        <w:tc>
          <w:tcPr>
            <w:tcW w:w="16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5</w:t>
            </w:r>
          </w:p>
        </w:tc>
        <w:tc>
          <w:tcPr>
            <w:tcW w:w="132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 </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 </w:t>
            </w:r>
          </w:p>
        </w:tc>
      </w:tr>
      <w:tr w:rsidR="00997A59" w:rsidRPr="00997A59" w:rsidTr="00F95766">
        <w:trPr>
          <w:gridAfter w:val="1"/>
          <w:wAfter w:w="208" w:type="dxa"/>
          <w:trHeight w:val="315"/>
        </w:trPr>
        <w:tc>
          <w:tcPr>
            <w:tcW w:w="714"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nil"/>
              <w:bottom w:val="single" w:sz="4" w:space="0" w:color="auto"/>
              <w:right w:val="single" w:sz="4" w:space="0" w:color="000000"/>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gundo; alarme sonoro para indicação da hora, bateria de lítio, precisão de 1100 segundos</w:t>
            </w:r>
          </w:p>
        </w:tc>
        <w:tc>
          <w:tcPr>
            <w:tcW w:w="1276"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657"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997A59" w:rsidRPr="00997A59" w:rsidTr="00F95766">
        <w:trPr>
          <w:gridAfter w:val="1"/>
          <w:wAfter w:w="208" w:type="dxa"/>
          <w:trHeight w:val="31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Escova p/ lavar tubo de ensaio 12 x 75 mm</w:t>
            </w:r>
          </w:p>
        </w:tc>
        <w:tc>
          <w:tcPr>
            <w:tcW w:w="1276"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Unidade</w:t>
            </w:r>
          </w:p>
        </w:tc>
        <w:tc>
          <w:tcPr>
            <w:tcW w:w="1657"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10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997A59" w:rsidRPr="00C60AED" w:rsidRDefault="00997A59" w:rsidP="00997A59">
            <w:pPr>
              <w:rPr>
                <w:rFonts w:ascii="Century Gothic" w:hAnsi="Century Gothic" w:cs="Arial"/>
                <w:sz w:val="24"/>
                <w:szCs w:val="24"/>
              </w:rPr>
            </w:pPr>
            <w:r w:rsidRPr="00C60AED">
              <w:rPr>
                <w:rFonts w:ascii="Century Gothic" w:hAnsi="Century Gothic" w:cs="Arial"/>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97A59" w:rsidRPr="00C60AED" w:rsidRDefault="00997A59" w:rsidP="00997A59">
            <w:pPr>
              <w:rPr>
                <w:rFonts w:ascii="Century Gothic" w:hAnsi="Century Gothic" w:cs="Arial"/>
                <w:sz w:val="24"/>
                <w:szCs w:val="24"/>
              </w:rPr>
            </w:pPr>
            <w:r w:rsidRPr="00C60AED">
              <w:rPr>
                <w:rFonts w:ascii="Century Gothic" w:hAnsi="Century Gothic" w:cs="Arial"/>
                <w:sz w:val="24"/>
                <w:szCs w:val="24"/>
              </w:rPr>
              <w:t> </w:t>
            </w:r>
          </w:p>
        </w:tc>
      </w:tr>
      <w:tr w:rsidR="00997A59" w:rsidRPr="00997A59" w:rsidTr="00F95766">
        <w:trPr>
          <w:gridAfter w:val="1"/>
          <w:wAfter w:w="208" w:type="dxa"/>
          <w:trHeight w:val="31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Escova p/ lavar tubo de ensaio 15 x 100 mm</w:t>
            </w:r>
          </w:p>
        </w:tc>
        <w:tc>
          <w:tcPr>
            <w:tcW w:w="1276"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Unidade</w:t>
            </w:r>
          </w:p>
        </w:tc>
        <w:tc>
          <w:tcPr>
            <w:tcW w:w="1657"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10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997A59" w:rsidRPr="00C60AED" w:rsidRDefault="00997A59" w:rsidP="00997A59">
            <w:pPr>
              <w:rPr>
                <w:rFonts w:ascii="Century Gothic" w:hAnsi="Century Gothic" w:cs="Arial"/>
                <w:sz w:val="24"/>
                <w:szCs w:val="24"/>
              </w:rPr>
            </w:pPr>
            <w:r w:rsidRPr="00C60AED">
              <w:rPr>
                <w:rFonts w:ascii="Century Gothic" w:hAnsi="Century Gothic" w:cs="Arial"/>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97A59" w:rsidRPr="00C60AED" w:rsidRDefault="00997A59" w:rsidP="00997A59">
            <w:pPr>
              <w:rPr>
                <w:rFonts w:ascii="Century Gothic" w:hAnsi="Century Gothic" w:cs="Arial"/>
                <w:sz w:val="24"/>
                <w:szCs w:val="24"/>
              </w:rPr>
            </w:pPr>
            <w:r w:rsidRPr="00C60AED">
              <w:rPr>
                <w:rFonts w:ascii="Century Gothic" w:hAnsi="Century Gothic" w:cs="Arial"/>
                <w:sz w:val="24"/>
                <w:szCs w:val="24"/>
              </w:rPr>
              <w:t> </w:t>
            </w:r>
          </w:p>
        </w:tc>
      </w:tr>
      <w:tr w:rsidR="00997A59" w:rsidRPr="00997A59" w:rsidTr="00F95766">
        <w:trPr>
          <w:gridAfter w:val="1"/>
          <w:wAfter w:w="208" w:type="dxa"/>
          <w:trHeight w:val="31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Estante para tubo de ensaio 15 x 100 mm p/ 24 tubos (amianto)</w:t>
            </w:r>
          </w:p>
        </w:tc>
        <w:tc>
          <w:tcPr>
            <w:tcW w:w="1276"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Unidade</w:t>
            </w:r>
          </w:p>
        </w:tc>
        <w:tc>
          <w:tcPr>
            <w:tcW w:w="1657"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2</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997A59" w:rsidRPr="00C60AED" w:rsidRDefault="00997A59" w:rsidP="00997A59">
            <w:pPr>
              <w:rPr>
                <w:rFonts w:ascii="Century Gothic" w:hAnsi="Century Gothic" w:cs="Arial"/>
                <w:sz w:val="24"/>
                <w:szCs w:val="24"/>
              </w:rPr>
            </w:pPr>
            <w:r w:rsidRPr="00C60AED">
              <w:rPr>
                <w:rFonts w:ascii="Century Gothic" w:hAnsi="Century Gothic" w:cs="Arial"/>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97A59" w:rsidRPr="00C60AED" w:rsidRDefault="00997A59" w:rsidP="00997A59">
            <w:pPr>
              <w:rPr>
                <w:rFonts w:ascii="Century Gothic" w:hAnsi="Century Gothic" w:cs="Arial"/>
                <w:sz w:val="24"/>
                <w:szCs w:val="24"/>
              </w:rPr>
            </w:pPr>
            <w:r w:rsidRPr="00C60AED">
              <w:rPr>
                <w:rFonts w:ascii="Century Gothic" w:hAnsi="Century Gothic" w:cs="Arial"/>
                <w:sz w:val="24"/>
                <w:szCs w:val="24"/>
              </w:rPr>
              <w:t> </w:t>
            </w:r>
          </w:p>
        </w:tc>
      </w:tr>
      <w:tr w:rsidR="00997A59" w:rsidRPr="00997A59" w:rsidTr="00F95766">
        <w:trPr>
          <w:gridAfter w:val="1"/>
          <w:wAfter w:w="208" w:type="dxa"/>
          <w:trHeight w:val="30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Estante para tubo de ensaio 16 x 100 mm p/ 24 tubos (amianto)</w:t>
            </w:r>
          </w:p>
        </w:tc>
        <w:tc>
          <w:tcPr>
            <w:tcW w:w="1276"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Unidade</w:t>
            </w:r>
          </w:p>
        </w:tc>
        <w:tc>
          <w:tcPr>
            <w:tcW w:w="1657"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2</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997A59" w:rsidRPr="00C60AED" w:rsidRDefault="00997A59" w:rsidP="00997A59">
            <w:pPr>
              <w:rPr>
                <w:rFonts w:ascii="Century Gothic" w:hAnsi="Century Gothic" w:cs="Arial"/>
                <w:sz w:val="24"/>
                <w:szCs w:val="24"/>
              </w:rPr>
            </w:pPr>
            <w:r w:rsidRPr="00C60AED">
              <w:rPr>
                <w:rFonts w:ascii="Century Gothic" w:hAnsi="Century Gothic" w:cs="Arial"/>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97A59" w:rsidRPr="00C60AED" w:rsidRDefault="00997A59" w:rsidP="00997A59">
            <w:pPr>
              <w:rPr>
                <w:rFonts w:ascii="Century Gothic" w:hAnsi="Century Gothic" w:cs="Arial"/>
                <w:sz w:val="24"/>
                <w:szCs w:val="24"/>
              </w:rPr>
            </w:pPr>
            <w:r w:rsidRPr="00C60AED">
              <w:rPr>
                <w:rFonts w:ascii="Century Gothic" w:hAnsi="Century Gothic" w:cs="Arial"/>
                <w:sz w:val="24"/>
                <w:szCs w:val="24"/>
              </w:rPr>
              <w:t> </w:t>
            </w:r>
          </w:p>
        </w:tc>
      </w:tr>
      <w:tr w:rsidR="00997A59" w:rsidRPr="00997A59" w:rsidTr="00F95766">
        <w:trPr>
          <w:gridAfter w:val="1"/>
          <w:wAfter w:w="208" w:type="dxa"/>
          <w:trHeight w:val="31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Estante para 20 tubos de ensaio em arame revestido de PVC</w:t>
            </w:r>
          </w:p>
        </w:tc>
        <w:tc>
          <w:tcPr>
            <w:tcW w:w="1276"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Unidade</w:t>
            </w:r>
          </w:p>
        </w:tc>
        <w:tc>
          <w:tcPr>
            <w:tcW w:w="1657"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12</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997A59" w:rsidRPr="00C60AED" w:rsidRDefault="00997A59" w:rsidP="00997A59">
            <w:pPr>
              <w:rPr>
                <w:rFonts w:ascii="Century Gothic" w:hAnsi="Century Gothic" w:cs="Arial"/>
                <w:sz w:val="24"/>
                <w:szCs w:val="24"/>
              </w:rPr>
            </w:pPr>
            <w:r w:rsidRPr="00C60AED">
              <w:rPr>
                <w:rFonts w:ascii="Century Gothic" w:hAnsi="Century Gothic" w:cs="Arial"/>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97A59" w:rsidRPr="00C60AED" w:rsidRDefault="00997A59" w:rsidP="00997A59">
            <w:pPr>
              <w:rPr>
                <w:rFonts w:ascii="Century Gothic" w:hAnsi="Century Gothic" w:cs="Arial"/>
                <w:sz w:val="24"/>
                <w:szCs w:val="24"/>
              </w:rPr>
            </w:pPr>
            <w:r w:rsidRPr="00C60AED">
              <w:rPr>
                <w:rFonts w:ascii="Century Gothic" w:hAnsi="Century Gothic" w:cs="Arial"/>
                <w:sz w:val="24"/>
                <w:szCs w:val="24"/>
              </w:rPr>
              <w:t> </w:t>
            </w:r>
          </w:p>
        </w:tc>
      </w:tr>
      <w:tr w:rsidR="00997A59" w:rsidRPr="00997A59" w:rsidTr="00F95766">
        <w:trPr>
          <w:gridAfter w:val="1"/>
          <w:wAfter w:w="208" w:type="dxa"/>
          <w:trHeight w:val="31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Estante para 40 tubos de ensaio em arame revestido de PVC.</w:t>
            </w:r>
          </w:p>
        </w:tc>
        <w:tc>
          <w:tcPr>
            <w:tcW w:w="1276"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Unidade</w:t>
            </w:r>
          </w:p>
        </w:tc>
        <w:tc>
          <w:tcPr>
            <w:tcW w:w="1657"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12</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997A59" w:rsidRPr="00C60AED" w:rsidRDefault="00997A59" w:rsidP="00997A59">
            <w:pPr>
              <w:rPr>
                <w:rFonts w:ascii="Century Gothic" w:hAnsi="Century Gothic" w:cs="Arial"/>
                <w:sz w:val="24"/>
                <w:szCs w:val="24"/>
              </w:rPr>
            </w:pPr>
            <w:r w:rsidRPr="00C60AED">
              <w:rPr>
                <w:rFonts w:ascii="Century Gothic" w:hAnsi="Century Gothic" w:cs="Arial"/>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97A59" w:rsidRPr="00C60AED" w:rsidRDefault="00997A59" w:rsidP="00997A59">
            <w:pPr>
              <w:rPr>
                <w:rFonts w:ascii="Century Gothic" w:hAnsi="Century Gothic" w:cs="Arial"/>
                <w:sz w:val="24"/>
                <w:szCs w:val="24"/>
              </w:rPr>
            </w:pPr>
            <w:r w:rsidRPr="00C60AED">
              <w:rPr>
                <w:rFonts w:ascii="Century Gothic" w:hAnsi="Century Gothic" w:cs="Arial"/>
                <w:sz w:val="24"/>
                <w:szCs w:val="24"/>
              </w:rPr>
              <w:t> </w:t>
            </w:r>
          </w:p>
        </w:tc>
      </w:tr>
      <w:tr w:rsidR="00997A59" w:rsidRPr="00997A59" w:rsidTr="00F95766">
        <w:trPr>
          <w:gridAfter w:val="1"/>
          <w:wAfter w:w="208" w:type="dxa"/>
          <w:trHeight w:val="31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997A59" w:rsidRPr="00C60AED" w:rsidRDefault="00997A59"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Etiquetas formulário contínuo 26 x 15 com 45.000 unidades</w:t>
            </w:r>
          </w:p>
        </w:tc>
        <w:tc>
          <w:tcPr>
            <w:tcW w:w="1276"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Caixa</w:t>
            </w:r>
          </w:p>
        </w:tc>
        <w:tc>
          <w:tcPr>
            <w:tcW w:w="1657" w:type="dxa"/>
            <w:tcBorders>
              <w:top w:val="nil"/>
              <w:left w:val="nil"/>
              <w:bottom w:val="single" w:sz="4" w:space="0" w:color="auto"/>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2</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997A59" w:rsidRPr="00C60AED" w:rsidRDefault="00997A59" w:rsidP="00997A59">
            <w:pPr>
              <w:rPr>
                <w:rFonts w:ascii="Century Gothic" w:hAnsi="Century Gothic" w:cs="Arial"/>
                <w:sz w:val="24"/>
                <w:szCs w:val="24"/>
              </w:rPr>
            </w:pPr>
            <w:r w:rsidRPr="00C60AED">
              <w:rPr>
                <w:rFonts w:ascii="Century Gothic" w:hAnsi="Century Gothic" w:cs="Arial"/>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97A59" w:rsidRPr="00C60AED" w:rsidRDefault="00997A59" w:rsidP="00997A59">
            <w:pPr>
              <w:rPr>
                <w:rFonts w:ascii="Century Gothic" w:hAnsi="Century Gothic" w:cs="Arial"/>
                <w:sz w:val="24"/>
                <w:szCs w:val="24"/>
              </w:rPr>
            </w:pPr>
            <w:r w:rsidRPr="00C60AED">
              <w:rPr>
                <w:rFonts w:ascii="Century Gothic" w:hAnsi="Century Gothic" w:cs="Arial"/>
                <w:sz w:val="24"/>
                <w:szCs w:val="24"/>
              </w:rPr>
              <w:t> </w:t>
            </w:r>
          </w:p>
        </w:tc>
      </w:tr>
      <w:tr w:rsidR="00997A59" w:rsidRPr="00997A59" w:rsidTr="00F95766">
        <w:trPr>
          <w:gridAfter w:val="1"/>
          <w:wAfter w:w="208" w:type="dxa"/>
          <w:trHeight w:val="315"/>
        </w:trPr>
        <w:tc>
          <w:tcPr>
            <w:tcW w:w="7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97A59" w:rsidRPr="00C60AED" w:rsidRDefault="00997A59"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nil"/>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Fita para impressão Extralife impressora printer riblon, ref. 1292 compatível com</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Unidade</w:t>
            </w:r>
          </w:p>
        </w:tc>
        <w:tc>
          <w:tcPr>
            <w:tcW w:w="16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20</w:t>
            </w:r>
          </w:p>
        </w:tc>
        <w:tc>
          <w:tcPr>
            <w:tcW w:w="132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 </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997A59" w:rsidRPr="00C60AED" w:rsidRDefault="00997A59" w:rsidP="00997A59">
            <w:pPr>
              <w:jc w:val="center"/>
              <w:rPr>
                <w:rFonts w:ascii="Century Gothic" w:hAnsi="Century Gothic" w:cs="Arial"/>
                <w:sz w:val="24"/>
                <w:szCs w:val="24"/>
              </w:rPr>
            </w:pPr>
            <w:r w:rsidRPr="00C60AED">
              <w:rPr>
                <w:rFonts w:ascii="Century Gothic" w:hAnsi="Century Gothic" w:cs="Arial"/>
                <w:sz w:val="24"/>
                <w:szCs w:val="24"/>
              </w:rPr>
              <w:t> </w:t>
            </w:r>
          </w:p>
        </w:tc>
      </w:tr>
      <w:tr w:rsidR="00997A59" w:rsidRPr="00997A59" w:rsidTr="00F95766">
        <w:trPr>
          <w:gridAfter w:val="1"/>
          <w:wAfter w:w="208" w:type="dxa"/>
          <w:trHeight w:val="315"/>
        </w:trPr>
        <w:tc>
          <w:tcPr>
            <w:tcW w:w="714"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nil"/>
              <w:bottom w:val="nil"/>
              <w:right w:val="nil"/>
            </w:tcBorders>
            <w:shd w:val="clear" w:color="auto" w:fill="auto"/>
            <w:noWrap/>
            <w:vAlign w:val="center"/>
            <w:hideMark/>
          </w:tcPr>
          <w:p w:rsidR="00997A59" w:rsidRPr="00C60AED" w:rsidRDefault="00997A59" w:rsidP="00C60AED">
            <w:pPr>
              <w:jc w:val="both"/>
              <w:rPr>
                <w:rFonts w:ascii="Century Gothic" w:hAnsi="Century Gothic" w:cs="Arial"/>
                <w:sz w:val="24"/>
                <w:szCs w:val="24"/>
              </w:rPr>
            </w:pPr>
            <w:r w:rsidRPr="00C60AED">
              <w:rPr>
                <w:rFonts w:ascii="Century Gothic" w:hAnsi="Century Gothic" w:cs="Arial"/>
                <w:sz w:val="24"/>
                <w:szCs w:val="24"/>
              </w:rPr>
              <w:t>equipamento tipo Epson Erc - 09B</w:t>
            </w:r>
          </w:p>
        </w:tc>
        <w:tc>
          <w:tcPr>
            <w:tcW w:w="1276"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657" w:type="dxa"/>
            <w:vMerge/>
            <w:tcBorders>
              <w:top w:val="nil"/>
              <w:left w:val="single" w:sz="4" w:space="0" w:color="auto"/>
              <w:bottom w:val="single" w:sz="4" w:space="0" w:color="000000"/>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rsidR="00997A59" w:rsidRPr="00C60AED" w:rsidRDefault="00997A59" w:rsidP="00997A59">
            <w:pPr>
              <w:rPr>
                <w:rFonts w:ascii="Century Gothic" w:hAnsi="Century Gothic" w:cs="Arial"/>
                <w:sz w:val="24"/>
                <w:szCs w:val="24"/>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997A59" w:rsidRPr="00C60AED" w:rsidRDefault="00997A59" w:rsidP="00997A59">
            <w:pPr>
              <w:rPr>
                <w:rFonts w:ascii="Century Gothic" w:hAnsi="Century Gothic" w:cs="Arial"/>
                <w:sz w:val="24"/>
                <w:szCs w:val="24"/>
              </w:rPr>
            </w:pPr>
          </w:p>
        </w:tc>
      </w:tr>
      <w:tr w:rsidR="00C60AED" w:rsidRPr="00C60AED" w:rsidTr="00F95766">
        <w:trPr>
          <w:gridAfter w:val="1"/>
          <w:wAfter w:w="208" w:type="dxa"/>
          <w:trHeight w:val="31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60AED" w:rsidRPr="00C60AED" w:rsidRDefault="00C60AED"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Fita de máquina de somar de rolo 5,57 cm de largura</w:t>
            </w:r>
          </w:p>
        </w:tc>
        <w:tc>
          <w:tcPr>
            <w:tcW w:w="1276"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Unidade</w:t>
            </w:r>
          </w:p>
        </w:tc>
        <w:tc>
          <w:tcPr>
            <w:tcW w:w="1657"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7</w:t>
            </w:r>
          </w:p>
        </w:tc>
        <w:tc>
          <w:tcPr>
            <w:tcW w:w="1320" w:type="dxa"/>
            <w:tcBorders>
              <w:top w:val="single" w:sz="4" w:space="0" w:color="auto"/>
              <w:bottom w:val="single" w:sz="4" w:space="0" w:color="auto"/>
              <w:right w:val="single" w:sz="4" w:space="0" w:color="auto"/>
            </w:tcBorders>
            <w:vAlign w:val="bottom"/>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r>
      <w:tr w:rsidR="00C60AED" w:rsidRPr="00997A59" w:rsidTr="00F95766">
        <w:trPr>
          <w:gridAfter w:val="1"/>
          <w:wAfter w:w="208" w:type="dxa"/>
          <w:trHeight w:val="31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60AED" w:rsidRPr="00C60AED" w:rsidRDefault="00C60AED"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Fita reativa para uroanálise com densidade c/ 100 tiras</w:t>
            </w:r>
          </w:p>
        </w:tc>
        <w:tc>
          <w:tcPr>
            <w:tcW w:w="1276"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Frasco</w:t>
            </w:r>
          </w:p>
        </w:tc>
        <w:tc>
          <w:tcPr>
            <w:tcW w:w="1657"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60</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r>
      <w:tr w:rsidR="00C60AED" w:rsidRPr="00997A59" w:rsidTr="00F95766">
        <w:trPr>
          <w:gridAfter w:val="1"/>
          <w:wAfter w:w="208" w:type="dxa"/>
          <w:trHeight w:val="31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60AED" w:rsidRPr="00C60AED" w:rsidRDefault="00C60AED"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Fraldas de pano</w:t>
            </w:r>
          </w:p>
        </w:tc>
        <w:tc>
          <w:tcPr>
            <w:tcW w:w="1276"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Unidade</w:t>
            </w:r>
          </w:p>
        </w:tc>
        <w:tc>
          <w:tcPr>
            <w:tcW w:w="1657"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24</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r>
      <w:tr w:rsidR="00C60AED" w:rsidRPr="00997A59" w:rsidTr="00F95766">
        <w:trPr>
          <w:gridAfter w:val="1"/>
          <w:wAfter w:w="208" w:type="dxa"/>
          <w:trHeight w:val="31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60AED" w:rsidRPr="00C60AED" w:rsidRDefault="00C60AED"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Frascos de cor âmbar com tampa de rosca de 100 ml de capacidade</w:t>
            </w:r>
          </w:p>
        </w:tc>
        <w:tc>
          <w:tcPr>
            <w:tcW w:w="1276"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Unidade</w:t>
            </w:r>
          </w:p>
        </w:tc>
        <w:tc>
          <w:tcPr>
            <w:tcW w:w="1657"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6</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r>
      <w:tr w:rsidR="00C60AED" w:rsidRPr="00997A59" w:rsidTr="00F95766">
        <w:trPr>
          <w:gridAfter w:val="1"/>
          <w:wAfter w:w="208" w:type="dxa"/>
          <w:trHeight w:val="31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60AED" w:rsidRPr="00C60AED" w:rsidRDefault="00C60AED"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Frascos de cor âmbar com tampa de rosca de 500 ml de capacidade</w:t>
            </w:r>
          </w:p>
        </w:tc>
        <w:tc>
          <w:tcPr>
            <w:tcW w:w="1276"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Unidade</w:t>
            </w:r>
          </w:p>
        </w:tc>
        <w:tc>
          <w:tcPr>
            <w:tcW w:w="1657"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6</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r>
      <w:tr w:rsidR="00C60AED" w:rsidRPr="00997A59" w:rsidTr="00F95766">
        <w:trPr>
          <w:gridAfter w:val="1"/>
          <w:wAfter w:w="208" w:type="dxa"/>
          <w:trHeight w:val="31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60AED" w:rsidRPr="00C60AED" w:rsidRDefault="00C60AED"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Frascos de cor âmbar com tampa de rosca de 1000 ml de capacidade</w:t>
            </w:r>
          </w:p>
        </w:tc>
        <w:tc>
          <w:tcPr>
            <w:tcW w:w="1276"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Unidade</w:t>
            </w:r>
          </w:p>
        </w:tc>
        <w:tc>
          <w:tcPr>
            <w:tcW w:w="1657"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6</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r>
      <w:tr w:rsidR="00C60AED" w:rsidRPr="00997A59" w:rsidTr="00F95766">
        <w:trPr>
          <w:gridAfter w:val="1"/>
          <w:wAfter w:w="208" w:type="dxa"/>
          <w:trHeight w:val="31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60AED" w:rsidRPr="00C60AED" w:rsidRDefault="00C60AED"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nil"/>
              <w:bottom w:val="nil"/>
              <w:right w:val="single" w:sz="4" w:space="0" w:color="auto"/>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Frascos com 10 ml de óleo de imersão</w:t>
            </w:r>
          </w:p>
        </w:tc>
        <w:tc>
          <w:tcPr>
            <w:tcW w:w="1276"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Frasco</w:t>
            </w:r>
          </w:p>
        </w:tc>
        <w:tc>
          <w:tcPr>
            <w:tcW w:w="1657"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4</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r>
      <w:tr w:rsidR="00C60AED" w:rsidRPr="00997A59" w:rsidTr="00F95766">
        <w:trPr>
          <w:gridAfter w:val="1"/>
          <w:wAfter w:w="208" w:type="dxa"/>
          <w:trHeight w:val="31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60AED" w:rsidRPr="00C60AED" w:rsidRDefault="00C60AED"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Funil de vidro pequeno para coar mucoproteína</w:t>
            </w:r>
          </w:p>
        </w:tc>
        <w:tc>
          <w:tcPr>
            <w:tcW w:w="1276"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Unidade</w:t>
            </w:r>
          </w:p>
        </w:tc>
        <w:tc>
          <w:tcPr>
            <w:tcW w:w="1657"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12</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r>
      <w:tr w:rsidR="00C60AED" w:rsidRPr="00997A59" w:rsidTr="00F95766">
        <w:trPr>
          <w:gridAfter w:val="1"/>
          <w:wAfter w:w="208" w:type="dxa"/>
          <w:trHeight w:val="315"/>
        </w:trPr>
        <w:tc>
          <w:tcPr>
            <w:tcW w:w="7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0AED" w:rsidRPr="00C60AED" w:rsidRDefault="00C60AED"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nil"/>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Kit BhCG Strip &amp; Card - Sensibilidade 20 UI no soro e urina com tempo de reação de 5</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Caixa</w:t>
            </w:r>
          </w:p>
        </w:tc>
        <w:tc>
          <w:tcPr>
            <w:tcW w:w="16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80</w:t>
            </w:r>
          </w:p>
        </w:tc>
        <w:tc>
          <w:tcPr>
            <w:tcW w:w="132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 </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 </w:t>
            </w:r>
          </w:p>
        </w:tc>
      </w:tr>
      <w:tr w:rsidR="00C60AED" w:rsidRPr="00997A59" w:rsidTr="00F95766">
        <w:trPr>
          <w:gridAfter w:val="1"/>
          <w:wAfter w:w="208" w:type="dxa"/>
          <w:trHeight w:val="315"/>
        </w:trPr>
        <w:tc>
          <w:tcPr>
            <w:tcW w:w="714"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nil"/>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minutos, fração beta.</w:t>
            </w:r>
          </w:p>
        </w:tc>
        <w:tc>
          <w:tcPr>
            <w:tcW w:w="1276"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gridAfter w:val="1"/>
          <w:wAfter w:w="208" w:type="dxa"/>
          <w:trHeight w:val="315"/>
        </w:trPr>
        <w:tc>
          <w:tcPr>
            <w:tcW w:w="714" w:type="dxa"/>
            <w:vMerge w:val="restart"/>
            <w:tcBorders>
              <w:top w:val="nil"/>
              <w:left w:val="single" w:sz="4" w:space="0" w:color="auto"/>
              <w:bottom w:val="nil"/>
              <w:right w:val="nil"/>
            </w:tcBorders>
            <w:shd w:val="clear" w:color="auto" w:fill="auto"/>
            <w:noWrap/>
            <w:vAlign w:val="center"/>
            <w:hideMark/>
          </w:tcPr>
          <w:p w:rsidR="00C60AED" w:rsidRPr="00C60AED" w:rsidRDefault="00C60AED"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 xml:space="preserve">Kit de Fosfatase Alcalina conjunto para 100 determinações de fosfatase alcalina, </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Caixa</w:t>
            </w:r>
          </w:p>
        </w:tc>
        <w:tc>
          <w:tcPr>
            <w:tcW w:w="1657" w:type="dxa"/>
            <w:vMerge w:val="restart"/>
            <w:tcBorders>
              <w:top w:val="nil"/>
              <w:left w:val="single" w:sz="4" w:space="0" w:color="auto"/>
              <w:bottom w:val="nil"/>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15</w:t>
            </w:r>
          </w:p>
        </w:tc>
        <w:tc>
          <w:tcPr>
            <w:tcW w:w="132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 </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 </w:t>
            </w:r>
          </w:p>
        </w:tc>
      </w:tr>
      <w:tr w:rsidR="00C60AED" w:rsidRPr="00997A59" w:rsidTr="00F95766">
        <w:trPr>
          <w:gridAfter w:val="1"/>
          <w:wAfter w:w="208" w:type="dxa"/>
          <w:trHeight w:val="315"/>
        </w:trPr>
        <w:tc>
          <w:tcPr>
            <w:tcW w:w="714" w:type="dxa"/>
            <w:vMerge/>
            <w:tcBorders>
              <w:top w:val="nil"/>
              <w:left w:val="single" w:sz="4" w:space="0" w:color="auto"/>
              <w:bottom w:val="nil"/>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contendo : 1) Tampão: 2 frascos com 45 ml cada, de solução tamponada em pH 9,80,</w:t>
            </w:r>
          </w:p>
        </w:tc>
        <w:tc>
          <w:tcPr>
            <w:tcW w:w="1276"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gridAfter w:val="1"/>
          <w:wAfter w:w="208" w:type="dxa"/>
          <w:trHeight w:val="315"/>
        </w:trPr>
        <w:tc>
          <w:tcPr>
            <w:tcW w:w="714" w:type="dxa"/>
            <w:vMerge/>
            <w:tcBorders>
              <w:top w:val="nil"/>
              <w:left w:val="single" w:sz="4" w:space="0" w:color="auto"/>
              <w:bottom w:val="nil"/>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 xml:space="preserve"> contendo cloreto de magnésio 0,5 mmol/L e azida sódica 15, 5 mmol/L.</w:t>
            </w:r>
          </w:p>
        </w:tc>
        <w:tc>
          <w:tcPr>
            <w:tcW w:w="1276"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gridAfter w:val="1"/>
          <w:wAfter w:w="208" w:type="dxa"/>
          <w:trHeight w:val="315"/>
        </w:trPr>
        <w:tc>
          <w:tcPr>
            <w:tcW w:w="714" w:type="dxa"/>
            <w:vMerge/>
            <w:tcBorders>
              <w:top w:val="nil"/>
              <w:left w:val="single" w:sz="4" w:space="0" w:color="auto"/>
              <w:bottom w:val="nil"/>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Conservar entre 2 e 8º C.</w:t>
            </w:r>
          </w:p>
        </w:tc>
        <w:tc>
          <w:tcPr>
            <w:tcW w:w="1276"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gridAfter w:val="1"/>
          <w:wAfter w:w="208" w:type="dxa"/>
          <w:trHeight w:val="315"/>
        </w:trPr>
        <w:tc>
          <w:tcPr>
            <w:tcW w:w="714" w:type="dxa"/>
            <w:vMerge/>
            <w:tcBorders>
              <w:top w:val="nil"/>
              <w:left w:val="single" w:sz="4" w:space="0" w:color="auto"/>
              <w:bottom w:val="nil"/>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2) Substrato : 2 frascos com 5 ml cada, de solução aquosa 10x concentrada, contendo</w:t>
            </w:r>
          </w:p>
        </w:tc>
        <w:tc>
          <w:tcPr>
            <w:tcW w:w="1276"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gridAfter w:val="1"/>
          <w:wAfter w:w="208" w:type="dxa"/>
          <w:trHeight w:val="315"/>
        </w:trPr>
        <w:tc>
          <w:tcPr>
            <w:tcW w:w="714" w:type="dxa"/>
            <w:vMerge/>
            <w:tcBorders>
              <w:top w:val="nil"/>
              <w:left w:val="single" w:sz="4" w:space="0" w:color="auto"/>
              <w:bottom w:val="nil"/>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p-nitrofenilfosfato de sódio 100 mmol/L e azida sódica 15,5 mmol/L. Conservar entre</w:t>
            </w:r>
          </w:p>
        </w:tc>
        <w:tc>
          <w:tcPr>
            <w:tcW w:w="1276"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gridAfter w:val="1"/>
          <w:wAfter w:w="208" w:type="dxa"/>
          <w:trHeight w:val="315"/>
        </w:trPr>
        <w:tc>
          <w:tcPr>
            <w:tcW w:w="714" w:type="dxa"/>
            <w:vMerge/>
            <w:tcBorders>
              <w:top w:val="nil"/>
              <w:left w:val="single" w:sz="4" w:space="0" w:color="auto"/>
              <w:bottom w:val="nil"/>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2 e 8 ° C.</w:t>
            </w:r>
          </w:p>
        </w:tc>
        <w:tc>
          <w:tcPr>
            <w:tcW w:w="1276"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gridAfter w:val="1"/>
          <w:wAfter w:w="208" w:type="dxa"/>
          <w:trHeight w:val="315"/>
        </w:trPr>
        <w:tc>
          <w:tcPr>
            <w:tcW w:w="714" w:type="dxa"/>
            <w:vMerge w:val="restart"/>
            <w:tcBorders>
              <w:top w:val="single" w:sz="4" w:space="0" w:color="auto"/>
              <w:left w:val="single" w:sz="4" w:space="0" w:color="auto"/>
              <w:bottom w:val="nil"/>
              <w:right w:val="nil"/>
            </w:tcBorders>
            <w:shd w:val="clear" w:color="auto" w:fill="auto"/>
            <w:noWrap/>
            <w:vAlign w:val="center"/>
            <w:hideMark/>
          </w:tcPr>
          <w:p w:rsidR="00C60AED" w:rsidRPr="00C60AED" w:rsidRDefault="00C60AED"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Kit de Amilase Cinético para determinações da quantidade de enzima amilase:</w:t>
            </w:r>
          </w:p>
        </w:tc>
        <w:tc>
          <w:tcPr>
            <w:tcW w:w="1276" w:type="dxa"/>
            <w:vMerge w:val="restart"/>
            <w:tcBorders>
              <w:top w:val="nil"/>
              <w:left w:val="single" w:sz="4" w:space="0" w:color="auto"/>
              <w:bottom w:val="nil"/>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Caixa</w:t>
            </w:r>
          </w:p>
        </w:tc>
        <w:tc>
          <w:tcPr>
            <w:tcW w:w="1657"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15</w:t>
            </w:r>
          </w:p>
        </w:tc>
        <w:tc>
          <w:tcPr>
            <w:tcW w:w="132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 </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 </w:t>
            </w:r>
          </w:p>
        </w:tc>
      </w:tr>
      <w:tr w:rsidR="00C60AED" w:rsidRPr="00997A59" w:rsidTr="00F95766">
        <w:trPr>
          <w:gridAfter w:val="1"/>
          <w:wAfter w:w="208" w:type="dxa"/>
          <w:trHeight w:val="315"/>
        </w:trPr>
        <w:tc>
          <w:tcPr>
            <w:tcW w:w="714" w:type="dxa"/>
            <w:vMerge/>
            <w:tcBorders>
              <w:top w:val="single" w:sz="4" w:space="0" w:color="auto"/>
              <w:left w:val="single" w:sz="4" w:space="0" w:color="auto"/>
              <w:bottom w:val="nil"/>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 xml:space="preserve">1)Reagente de Cor - 2 frascos com 30ml cada, de solução tamponada </w:t>
            </w:r>
            <w:r w:rsidRPr="00C60AED">
              <w:rPr>
                <w:rFonts w:ascii="Century Gothic" w:hAnsi="Century Gothic" w:cs="Arial"/>
                <w:sz w:val="24"/>
                <w:szCs w:val="24"/>
              </w:rPr>
              <w:lastRenderedPageBreak/>
              <w:t>contendo tampão</w:t>
            </w:r>
          </w:p>
        </w:tc>
        <w:tc>
          <w:tcPr>
            <w:tcW w:w="1276" w:type="dxa"/>
            <w:vMerge/>
            <w:tcBorders>
              <w:top w:val="nil"/>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single" w:sz="4" w:space="0" w:color="auto"/>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gridAfter w:val="1"/>
          <w:wAfter w:w="208" w:type="dxa"/>
          <w:trHeight w:val="315"/>
        </w:trPr>
        <w:tc>
          <w:tcPr>
            <w:tcW w:w="714" w:type="dxa"/>
            <w:vMerge/>
            <w:tcBorders>
              <w:top w:val="single" w:sz="4" w:space="0" w:color="auto"/>
              <w:left w:val="single" w:sz="4" w:space="0" w:color="auto"/>
              <w:bottom w:val="nil"/>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50 mmol/L pH 6,0, cloreto de sódio 300 mmol/L, 2-cloro-4nitrofenil -α -galactosimaltóside</w:t>
            </w:r>
          </w:p>
        </w:tc>
        <w:tc>
          <w:tcPr>
            <w:tcW w:w="1276" w:type="dxa"/>
            <w:vMerge/>
            <w:tcBorders>
              <w:top w:val="nil"/>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single" w:sz="4" w:space="0" w:color="auto"/>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gridAfter w:val="1"/>
          <w:wAfter w:w="208" w:type="dxa"/>
          <w:trHeight w:val="315"/>
        </w:trPr>
        <w:tc>
          <w:tcPr>
            <w:tcW w:w="714" w:type="dxa"/>
            <w:vMerge/>
            <w:tcBorders>
              <w:top w:val="single" w:sz="4" w:space="0" w:color="auto"/>
              <w:left w:val="single" w:sz="4" w:space="0" w:color="auto"/>
              <w:bottom w:val="nil"/>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2,61 mmol/L, cloreto de cálcio 5,0 mmol/L, tiocianato de potássio 140mmol/L e azida só-</w:t>
            </w:r>
          </w:p>
        </w:tc>
        <w:tc>
          <w:tcPr>
            <w:tcW w:w="1276" w:type="dxa"/>
            <w:vMerge/>
            <w:tcBorders>
              <w:top w:val="nil"/>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single" w:sz="4" w:space="0" w:color="auto"/>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gridAfter w:val="1"/>
          <w:wAfter w:w="208" w:type="dxa"/>
          <w:trHeight w:val="315"/>
        </w:trPr>
        <w:tc>
          <w:tcPr>
            <w:tcW w:w="714" w:type="dxa"/>
            <w:vMerge/>
            <w:tcBorders>
              <w:top w:val="single" w:sz="4" w:space="0" w:color="auto"/>
              <w:left w:val="single" w:sz="4" w:space="0" w:color="auto"/>
              <w:bottom w:val="nil"/>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dica 0,1g/dl. Conservar entre 2 e 8º C.</w:t>
            </w:r>
          </w:p>
        </w:tc>
        <w:tc>
          <w:tcPr>
            <w:tcW w:w="1276" w:type="dxa"/>
            <w:vMerge/>
            <w:tcBorders>
              <w:top w:val="nil"/>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single" w:sz="4" w:space="0" w:color="auto"/>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gridAfter w:val="1"/>
          <w:wAfter w:w="208" w:type="dxa"/>
          <w:trHeight w:val="315"/>
        </w:trPr>
        <w:tc>
          <w:tcPr>
            <w:tcW w:w="714" w:type="dxa"/>
            <w:vMerge w:val="restart"/>
            <w:tcBorders>
              <w:top w:val="single" w:sz="4" w:space="0" w:color="auto"/>
              <w:left w:val="single" w:sz="4" w:space="0" w:color="auto"/>
              <w:bottom w:val="nil"/>
              <w:right w:val="nil"/>
            </w:tcBorders>
            <w:shd w:val="clear" w:color="auto" w:fill="auto"/>
            <w:noWrap/>
            <w:vAlign w:val="center"/>
            <w:hideMark/>
          </w:tcPr>
          <w:p w:rsidR="00C60AED" w:rsidRPr="00C60AED" w:rsidRDefault="00C60AED"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Kit Glutamil transferase método cinético para dosagem de gama GT no soro:</w:t>
            </w:r>
          </w:p>
        </w:tc>
        <w:tc>
          <w:tcPr>
            <w:tcW w:w="1276"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Caixa</w:t>
            </w:r>
          </w:p>
        </w:tc>
        <w:tc>
          <w:tcPr>
            <w:tcW w:w="1657"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15</w:t>
            </w:r>
          </w:p>
        </w:tc>
        <w:tc>
          <w:tcPr>
            <w:tcW w:w="132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 </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 </w:t>
            </w:r>
          </w:p>
        </w:tc>
      </w:tr>
      <w:tr w:rsidR="00C60AED" w:rsidRPr="00997A59" w:rsidTr="00F95766">
        <w:trPr>
          <w:gridAfter w:val="1"/>
          <w:wAfter w:w="208" w:type="dxa"/>
          <w:trHeight w:val="315"/>
        </w:trPr>
        <w:tc>
          <w:tcPr>
            <w:tcW w:w="714" w:type="dxa"/>
            <w:vMerge/>
            <w:tcBorders>
              <w:top w:val="single" w:sz="4" w:space="0" w:color="auto"/>
              <w:left w:val="single" w:sz="4" w:space="0" w:color="auto"/>
              <w:bottom w:val="nil"/>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 xml:space="preserve">1)Reativo Tampão: solução tamponada de glicilglicina 138 mmol/L  pH = 8,25, volume 48 </w:t>
            </w:r>
          </w:p>
        </w:tc>
        <w:tc>
          <w:tcPr>
            <w:tcW w:w="1276" w:type="dxa"/>
            <w:vMerge/>
            <w:tcBorders>
              <w:top w:val="single" w:sz="4" w:space="0" w:color="auto"/>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single" w:sz="4" w:space="0" w:color="auto"/>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gridAfter w:val="1"/>
          <w:wAfter w:w="208" w:type="dxa"/>
          <w:trHeight w:val="315"/>
        </w:trPr>
        <w:tc>
          <w:tcPr>
            <w:tcW w:w="714" w:type="dxa"/>
            <w:vMerge/>
            <w:tcBorders>
              <w:top w:val="single" w:sz="4" w:space="0" w:color="auto"/>
              <w:left w:val="single" w:sz="4" w:space="0" w:color="auto"/>
              <w:bottom w:val="nil"/>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ml, pronto para uso, estável a 2-8ºC, protegido da luz.</w:t>
            </w:r>
          </w:p>
        </w:tc>
        <w:tc>
          <w:tcPr>
            <w:tcW w:w="1276" w:type="dxa"/>
            <w:vMerge/>
            <w:tcBorders>
              <w:top w:val="single" w:sz="4" w:space="0" w:color="auto"/>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single" w:sz="4" w:space="0" w:color="auto"/>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gridAfter w:val="1"/>
          <w:wAfter w:w="208" w:type="dxa"/>
          <w:trHeight w:val="315"/>
        </w:trPr>
        <w:tc>
          <w:tcPr>
            <w:tcW w:w="714" w:type="dxa"/>
            <w:vMerge/>
            <w:tcBorders>
              <w:top w:val="single" w:sz="4" w:space="0" w:color="auto"/>
              <w:left w:val="single" w:sz="4" w:space="0" w:color="auto"/>
              <w:bottom w:val="nil"/>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 xml:space="preserve">2)Reativo substrato: Solução estabilizada de Glupa-C, 23 mmol/L, volume 12 ml, pronto </w:t>
            </w:r>
          </w:p>
        </w:tc>
        <w:tc>
          <w:tcPr>
            <w:tcW w:w="1276" w:type="dxa"/>
            <w:vMerge/>
            <w:tcBorders>
              <w:top w:val="single" w:sz="4" w:space="0" w:color="auto"/>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single" w:sz="4" w:space="0" w:color="auto"/>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gridAfter w:val="1"/>
          <w:wAfter w:w="208" w:type="dxa"/>
          <w:trHeight w:val="315"/>
        </w:trPr>
        <w:tc>
          <w:tcPr>
            <w:tcW w:w="714" w:type="dxa"/>
            <w:vMerge/>
            <w:tcBorders>
              <w:top w:val="single" w:sz="4" w:space="0" w:color="auto"/>
              <w:left w:val="single" w:sz="4" w:space="0" w:color="auto"/>
              <w:bottom w:val="nil"/>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para uso, estável a 2-8ºC, protegido da luz.</w:t>
            </w:r>
          </w:p>
        </w:tc>
        <w:tc>
          <w:tcPr>
            <w:tcW w:w="1276" w:type="dxa"/>
            <w:vMerge/>
            <w:tcBorders>
              <w:top w:val="single" w:sz="4" w:space="0" w:color="auto"/>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single" w:sz="4" w:space="0" w:color="auto"/>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gridAfter w:val="1"/>
          <w:wAfter w:w="208" w:type="dxa"/>
          <w:trHeight w:val="315"/>
        </w:trPr>
        <w:tc>
          <w:tcPr>
            <w:tcW w:w="71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60AED" w:rsidRPr="00C60AED" w:rsidRDefault="00C60AED"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nil"/>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 xml:space="preserve">Kit de Glicohemoglobina monoteste para 50 testes contendo: 50 x 3,0 ml de resina de </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Caixa</w:t>
            </w:r>
          </w:p>
        </w:tc>
        <w:tc>
          <w:tcPr>
            <w:tcW w:w="16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20</w:t>
            </w:r>
          </w:p>
        </w:tc>
        <w:tc>
          <w:tcPr>
            <w:tcW w:w="132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 </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 </w:t>
            </w:r>
          </w:p>
        </w:tc>
      </w:tr>
      <w:tr w:rsidR="00C60AED" w:rsidRPr="00997A59" w:rsidTr="00F95766">
        <w:trPr>
          <w:gridAfter w:val="1"/>
          <w:wAfter w:w="208" w:type="dxa"/>
          <w:trHeight w:val="315"/>
        </w:trPr>
        <w:tc>
          <w:tcPr>
            <w:tcW w:w="714" w:type="dxa"/>
            <w:vMerge/>
            <w:tcBorders>
              <w:top w:val="single" w:sz="4" w:space="0" w:color="auto"/>
              <w:left w:val="single" w:sz="4" w:space="0" w:color="auto"/>
              <w:bottom w:val="single" w:sz="4" w:space="0" w:color="000000"/>
              <w:right w:val="single" w:sz="4" w:space="0" w:color="auto"/>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nil"/>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 xml:space="preserve">troca iônica; 1 x 25,0 ml de reagente lisante; 1 x 1,0 ml de padrão liofilizado; 1 x 50 unidades </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single" w:sz="4" w:space="0" w:color="auto"/>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gridAfter w:val="1"/>
          <w:wAfter w:w="208" w:type="dxa"/>
          <w:trHeight w:val="315"/>
        </w:trPr>
        <w:tc>
          <w:tcPr>
            <w:tcW w:w="714" w:type="dxa"/>
            <w:vMerge/>
            <w:tcBorders>
              <w:top w:val="single" w:sz="4" w:space="0" w:color="auto"/>
              <w:left w:val="single" w:sz="4" w:space="0" w:color="auto"/>
              <w:bottom w:val="single" w:sz="4" w:space="0" w:color="000000"/>
              <w:right w:val="single" w:sz="4" w:space="0" w:color="auto"/>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nil"/>
              <w:bottom w:val="single" w:sz="4" w:space="0" w:color="auto"/>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de filtro separador e uma instrução de uso.</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single" w:sz="4" w:space="0" w:color="auto"/>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gridAfter w:val="1"/>
          <w:wAfter w:w="208" w:type="dxa"/>
          <w:trHeight w:val="300"/>
        </w:trPr>
        <w:tc>
          <w:tcPr>
            <w:tcW w:w="7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0AED" w:rsidRPr="00C60AED" w:rsidRDefault="00C60AED"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nil"/>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Kit de glicose  enzimático  - conjunto para 1.000  determinações de glicose, contendo:</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Caixa</w:t>
            </w:r>
          </w:p>
        </w:tc>
        <w:tc>
          <w:tcPr>
            <w:tcW w:w="16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48</w:t>
            </w:r>
          </w:p>
        </w:tc>
        <w:tc>
          <w:tcPr>
            <w:tcW w:w="132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 </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 </w:t>
            </w:r>
          </w:p>
        </w:tc>
      </w:tr>
      <w:tr w:rsidR="00C60AED" w:rsidRPr="00997A59" w:rsidTr="00F95766">
        <w:trPr>
          <w:gridAfter w:val="1"/>
          <w:wAfter w:w="208" w:type="dxa"/>
          <w:trHeight w:val="300"/>
        </w:trPr>
        <w:tc>
          <w:tcPr>
            <w:tcW w:w="714"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nil"/>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 xml:space="preserve">1) Reagente enzimático: 4 frascos com 250 ml de cada, contendo solução aquosa de </w:t>
            </w:r>
          </w:p>
        </w:tc>
        <w:tc>
          <w:tcPr>
            <w:tcW w:w="1276"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gridAfter w:val="1"/>
          <w:wAfter w:w="208" w:type="dxa"/>
          <w:trHeight w:val="315"/>
        </w:trPr>
        <w:tc>
          <w:tcPr>
            <w:tcW w:w="714"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nil"/>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 xml:space="preserve"> tampão de pH 7,40, 4-aminoantipirina 0,8 mmol/L, fenól 11 mmol/L, glicose oxidase &gt;</w:t>
            </w:r>
          </w:p>
        </w:tc>
        <w:tc>
          <w:tcPr>
            <w:tcW w:w="1276"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gridAfter w:val="1"/>
          <w:wAfter w:w="208" w:type="dxa"/>
          <w:trHeight w:val="315"/>
        </w:trPr>
        <w:tc>
          <w:tcPr>
            <w:tcW w:w="714"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nil"/>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 xml:space="preserve"> 16.000 U/L, peroxidase &gt; 1.000 U/L e p-hidroxibenzoato de matila 6,5 mmol/L.</w:t>
            </w:r>
          </w:p>
        </w:tc>
        <w:tc>
          <w:tcPr>
            <w:tcW w:w="1276"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gridAfter w:val="1"/>
          <w:wAfter w:w="208" w:type="dxa"/>
          <w:trHeight w:val="315"/>
        </w:trPr>
        <w:tc>
          <w:tcPr>
            <w:tcW w:w="714"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nil"/>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Conservar entre 2 e 8 C.2) Padrão: 01 frsco com 6,0 ml contendo glicose sem mg/dl</w:t>
            </w:r>
          </w:p>
        </w:tc>
        <w:tc>
          <w:tcPr>
            <w:tcW w:w="1276"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gridAfter w:val="1"/>
          <w:wAfter w:w="208" w:type="dxa"/>
          <w:trHeight w:val="315"/>
        </w:trPr>
        <w:tc>
          <w:tcPr>
            <w:tcW w:w="714"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nil"/>
              <w:bottom w:val="single" w:sz="4" w:space="0" w:color="auto"/>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(5,56mmol/L) em solução de ácido benzóico a 0,25% . Conservar entre 2 e 8°C.</w:t>
            </w:r>
          </w:p>
        </w:tc>
        <w:tc>
          <w:tcPr>
            <w:tcW w:w="1276"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gridAfter w:val="1"/>
          <w:wAfter w:w="208" w:type="dxa"/>
          <w:trHeight w:val="315"/>
        </w:trPr>
        <w:tc>
          <w:tcPr>
            <w:tcW w:w="7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0AED" w:rsidRPr="00C60AED" w:rsidRDefault="00C60AED"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nil"/>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 xml:space="preserve">Kit de colesterol  enzimático  conjunto para  200 determinações de colesterol, contendo: </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Caixa</w:t>
            </w:r>
          </w:p>
        </w:tc>
        <w:tc>
          <w:tcPr>
            <w:tcW w:w="16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48</w:t>
            </w:r>
          </w:p>
        </w:tc>
        <w:tc>
          <w:tcPr>
            <w:tcW w:w="132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 </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 </w:t>
            </w:r>
          </w:p>
        </w:tc>
      </w:tr>
      <w:tr w:rsidR="00C60AED" w:rsidRPr="00997A59" w:rsidTr="00F95766">
        <w:trPr>
          <w:gridAfter w:val="1"/>
          <w:wAfter w:w="208" w:type="dxa"/>
          <w:trHeight w:val="315"/>
        </w:trPr>
        <w:tc>
          <w:tcPr>
            <w:tcW w:w="714"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nil"/>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 xml:space="preserve">1) Reagente enzimático: 2 frascos com 100 ml cada, de solução aquosa contendo </w:t>
            </w:r>
          </w:p>
        </w:tc>
        <w:tc>
          <w:tcPr>
            <w:tcW w:w="1276"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gridAfter w:val="1"/>
          <w:wAfter w:w="208" w:type="dxa"/>
          <w:trHeight w:val="315"/>
        </w:trPr>
        <w:tc>
          <w:tcPr>
            <w:tcW w:w="714"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nil"/>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tampão pH 6,90, 4-aminoantipirina 0,5 mmol/L fenól 10 mmol/L, colesterol esteratase &gt;</w:t>
            </w:r>
          </w:p>
        </w:tc>
        <w:tc>
          <w:tcPr>
            <w:tcW w:w="1276"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gridAfter w:val="1"/>
          <w:wAfter w:w="208" w:type="dxa"/>
          <w:trHeight w:val="315"/>
        </w:trPr>
        <w:tc>
          <w:tcPr>
            <w:tcW w:w="714"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nil"/>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 xml:space="preserve">400U/L, colesterol oxidase &gt; que 300 U/L, peroxidase &gt; 1.000 U/L e azida sódica 0,1 g/dl. </w:t>
            </w:r>
          </w:p>
        </w:tc>
        <w:tc>
          <w:tcPr>
            <w:tcW w:w="1276"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gridAfter w:val="1"/>
          <w:wAfter w:w="208" w:type="dxa"/>
          <w:trHeight w:val="315"/>
        </w:trPr>
        <w:tc>
          <w:tcPr>
            <w:tcW w:w="714"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nil"/>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Conservar entre 2 e 8°C.</w:t>
            </w:r>
          </w:p>
        </w:tc>
        <w:tc>
          <w:tcPr>
            <w:tcW w:w="1276"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gridAfter w:val="1"/>
          <w:wAfter w:w="208" w:type="dxa"/>
          <w:trHeight w:val="315"/>
        </w:trPr>
        <w:tc>
          <w:tcPr>
            <w:tcW w:w="714"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nil"/>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2) Padrão: 01 frasco com 5,0 ml contendo colesterol 200mg/dl (5,2 mmol/L) em solu-</w:t>
            </w:r>
          </w:p>
        </w:tc>
        <w:tc>
          <w:tcPr>
            <w:tcW w:w="1276"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gridAfter w:val="1"/>
          <w:wAfter w:w="208" w:type="dxa"/>
          <w:trHeight w:val="315"/>
        </w:trPr>
        <w:tc>
          <w:tcPr>
            <w:tcW w:w="714"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nil"/>
              <w:bottom w:val="single" w:sz="4" w:space="0" w:color="auto"/>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ção aquosa e azida sódica 0,1 g/dl. Conservar entre 2 e 8°C.</w:t>
            </w:r>
          </w:p>
        </w:tc>
        <w:tc>
          <w:tcPr>
            <w:tcW w:w="1276"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gridAfter w:val="1"/>
          <w:wAfter w:w="208" w:type="dxa"/>
          <w:trHeight w:val="315"/>
        </w:trPr>
        <w:tc>
          <w:tcPr>
            <w:tcW w:w="714" w:type="dxa"/>
            <w:vMerge w:val="restart"/>
            <w:tcBorders>
              <w:top w:val="nil"/>
              <w:left w:val="single" w:sz="4" w:space="0" w:color="auto"/>
              <w:bottom w:val="nil"/>
              <w:right w:val="nil"/>
            </w:tcBorders>
            <w:shd w:val="clear" w:color="auto" w:fill="auto"/>
            <w:noWrap/>
            <w:vAlign w:val="center"/>
            <w:hideMark/>
          </w:tcPr>
          <w:p w:rsidR="00C60AED" w:rsidRPr="00C60AED" w:rsidRDefault="00C60AED"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Kit de Albumina para 250 determinações, contendo: 1)-Reagente de Cor : 1 frasco de 50</w:t>
            </w:r>
          </w:p>
        </w:tc>
        <w:tc>
          <w:tcPr>
            <w:tcW w:w="1276" w:type="dxa"/>
            <w:vMerge w:val="restart"/>
            <w:tcBorders>
              <w:top w:val="nil"/>
              <w:left w:val="single" w:sz="4" w:space="0" w:color="auto"/>
              <w:bottom w:val="nil"/>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Caixa</w:t>
            </w:r>
          </w:p>
        </w:tc>
        <w:tc>
          <w:tcPr>
            <w:tcW w:w="1657" w:type="dxa"/>
            <w:vMerge w:val="restart"/>
            <w:tcBorders>
              <w:top w:val="nil"/>
              <w:left w:val="single" w:sz="4" w:space="0" w:color="auto"/>
              <w:bottom w:val="nil"/>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5</w:t>
            </w:r>
          </w:p>
        </w:tc>
        <w:tc>
          <w:tcPr>
            <w:tcW w:w="132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 </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 </w:t>
            </w:r>
          </w:p>
        </w:tc>
      </w:tr>
      <w:tr w:rsidR="00C60AED" w:rsidRPr="00997A59" w:rsidTr="00F95766">
        <w:trPr>
          <w:gridAfter w:val="1"/>
          <w:wAfter w:w="208" w:type="dxa"/>
          <w:trHeight w:val="315"/>
        </w:trPr>
        <w:tc>
          <w:tcPr>
            <w:tcW w:w="714" w:type="dxa"/>
            <w:vMerge/>
            <w:tcBorders>
              <w:top w:val="nil"/>
              <w:left w:val="single" w:sz="4" w:space="0" w:color="auto"/>
              <w:bottom w:val="nil"/>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ml de solução tamponada em pH 3,80, 10x concentrada, contendo verde de bromocresol</w:t>
            </w:r>
          </w:p>
        </w:tc>
        <w:tc>
          <w:tcPr>
            <w:tcW w:w="1276" w:type="dxa"/>
            <w:vMerge/>
            <w:tcBorders>
              <w:top w:val="nil"/>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gridAfter w:val="1"/>
          <w:wAfter w:w="208" w:type="dxa"/>
          <w:trHeight w:val="315"/>
        </w:trPr>
        <w:tc>
          <w:tcPr>
            <w:tcW w:w="714" w:type="dxa"/>
            <w:vMerge/>
            <w:tcBorders>
              <w:top w:val="nil"/>
              <w:left w:val="single" w:sz="4" w:space="0" w:color="auto"/>
              <w:bottom w:val="nil"/>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1,7 mmol/L e azida sódica 8,5 mmol/L. 2)-Padrão: 1 frasco com 2,0 ml de solução aquosa</w:t>
            </w:r>
          </w:p>
        </w:tc>
        <w:tc>
          <w:tcPr>
            <w:tcW w:w="1276" w:type="dxa"/>
            <w:vMerge/>
            <w:tcBorders>
              <w:top w:val="nil"/>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gridAfter w:val="1"/>
          <w:wAfter w:w="208" w:type="dxa"/>
          <w:trHeight w:val="315"/>
        </w:trPr>
        <w:tc>
          <w:tcPr>
            <w:tcW w:w="714" w:type="dxa"/>
            <w:vMerge/>
            <w:tcBorders>
              <w:top w:val="nil"/>
              <w:left w:val="single" w:sz="4" w:space="0" w:color="auto"/>
              <w:bottom w:val="nil"/>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de albunima bovina 3,8 g/dL, contendo azida sódica 8,5 mmol/L.</w:t>
            </w:r>
          </w:p>
        </w:tc>
        <w:tc>
          <w:tcPr>
            <w:tcW w:w="1276" w:type="dxa"/>
            <w:vMerge/>
            <w:tcBorders>
              <w:top w:val="nil"/>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gridAfter w:val="1"/>
          <w:wAfter w:w="208" w:type="dxa"/>
          <w:trHeight w:val="315"/>
        </w:trPr>
        <w:tc>
          <w:tcPr>
            <w:tcW w:w="714" w:type="dxa"/>
            <w:vMerge w:val="restart"/>
            <w:tcBorders>
              <w:top w:val="nil"/>
              <w:left w:val="single" w:sz="4" w:space="0" w:color="auto"/>
              <w:bottom w:val="single" w:sz="4" w:space="0" w:color="000000"/>
              <w:right w:val="nil"/>
            </w:tcBorders>
            <w:shd w:val="clear" w:color="auto" w:fill="auto"/>
            <w:noWrap/>
            <w:vAlign w:val="center"/>
            <w:hideMark/>
          </w:tcPr>
          <w:p w:rsidR="00C60AED" w:rsidRPr="00C60AED" w:rsidRDefault="00C60AED"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Kit de triglicérides  enzimático conjunto para 200 determinações dos triglicérides</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Caixa</w:t>
            </w:r>
          </w:p>
        </w:tc>
        <w:tc>
          <w:tcPr>
            <w:tcW w:w="16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48</w:t>
            </w:r>
          </w:p>
        </w:tc>
        <w:tc>
          <w:tcPr>
            <w:tcW w:w="132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 </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 </w:t>
            </w:r>
          </w:p>
        </w:tc>
      </w:tr>
      <w:tr w:rsidR="00C60AED" w:rsidRPr="00997A59" w:rsidTr="00F95766">
        <w:trPr>
          <w:gridAfter w:val="1"/>
          <w:wAfter w:w="208" w:type="dxa"/>
          <w:trHeight w:val="315"/>
        </w:trPr>
        <w:tc>
          <w:tcPr>
            <w:tcW w:w="714" w:type="dxa"/>
            <w:vMerge/>
            <w:tcBorders>
              <w:top w:val="nil"/>
              <w:left w:val="single" w:sz="4" w:space="0" w:color="auto"/>
              <w:bottom w:val="single" w:sz="4" w:space="0" w:color="000000"/>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 xml:space="preserve">contendo : 1) Tampão: 2 frascos com 90 ml cada, de solução aquosa contendo tampão </w:t>
            </w:r>
          </w:p>
        </w:tc>
        <w:tc>
          <w:tcPr>
            <w:tcW w:w="1276"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gridAfter w:val="1"/>
          <w:wAfter w:w="208" w:type="dxa"/>
          <w:trHeight w:val="315"/>
        </w:trPr>
        <w:tc>
          <w:tcPr>
            <w:tcW w:w="714" w:type="dxa"/>
            <w:vMerge/>
            <w:tcBorders>
              <w:top w:val="nil"/>
              <w:left w:val="single" w:sz="4" w:space="0" w:color="auto"/>
              <w:bottom w:val="single" w:sz="4" w:space="0" w:color="000000"/>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 xml:space="preserve">pH 7,50, p-clorofenol 5mmol/L e </w:t>
            </w:r>
            <w:r w:rsidRPr="00C60AED">
              <w:rPr>
                <w:rFonts w:ascii="Century Gothic" w:hAnsi="Century Gothic" w:cs="Arial"/>
                <w:sz w:val="24"/>
                <w:szCs w:val="24"/>
              </w:rPr>
              <w:lastRenderedPageBreak/>
              <w:t>azida sódica 0,1 g/dl.</w:t>
            </w:r>
          </w:p>
        </w:tc>
        <w:tc>
          <w:tcPr>
            <w:tcW w:w="1276"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gridAfter w:val="1"/>
          <w:wAfter w:w="208" w:type="dxa"/>
          <w:trHeight w:val="315"/>
        </w:trPr>
        <w:tc>
          <w:tcPr>
            <w:tcW w:w="714" w:type="dxa"/>
            <w:vMerge/>
            <w:tcBorders>
              <w:top w:val="nil"/>
              <w:left w:val="single" w:sz="4" w:space="0" w:color="auto"/>
              <w:bottom w:val="single" w:sz="4" w:space="0" w:color="000000"/>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 xml:space="preserve">Conservar entre 2 e 8°C. </w:t>
            </w:r>
          </w:p>
        </w:tc>
        <w:tc>
          <w:tcPr>
            <w:tcW w:w="1276"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gridAfter w:val="1"/>
          <w:wAfter w:w="208" w:type="dxa"/>
          <w:trHeight w:val="315"/>
        </w:trPr>
        <w:tc>
          <w:tcPr>
            <w:tcW w:w="714" w:type="dxa"/>
            <w:vMerge/>
            <w:tcBorders>
              <w:top w:val="nil"/>
              <w:left w:val="single" w:sz="4" w:space="0" w:color="auto"/>
              <w:bottom w:val="single" w:sz="4" w:space="0" w:color="000000"/>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 xml:space="preserve"> 2) Enzimas: 2 frascos com 10 ml cada, solução aquosa 10x concentrada, contendo</w:t>
            </w:r>
          </w:p>
        </w:tc>
        <w:tc>
          <w:tcPr>
            <w:tcW w:w="1276"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gridAfter w:val="1"/>
          <w:wAfter w:w="208" w:type="dxa"/>
          <w:trHeight w:val="315"/>
        </w:trPr>
        <w:tc>
          <w:tcPr>
            <w:tcW w:w="714" w:type="dxa"/>
            <w:vMerge/>
            <w:tcBorders>
              <w:top w:val="nil"/>
              <w:left w:val="single" w:sz="4" w:space="0" w:color="auto"/>
              <w:bottom w:val="single" w:sz="4" w:space="0" w:color="000000"/>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 xml:space="preserve"> tampão pH 7,50, lipase lipoproteíca &gt; 200.000U/L, glicerol 3-fosfato oxidase &gt; 30.000U/L</w:t>
            </w:r>
          </w:p>
        </w:tc>
        <w:tc>
          <w:tcPr>
            <w:tcW w:w="1276"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gridAfter w:val="1"/>
          <w:wAfter w:w="208" w:type="dxa"/>
          <w:trHeight w:val="315"/>
        </w:trPr>
        <w:tc>
          <w:tcPr>
            <w:tcW w:w="714" w:type="dxa"/>
            <w:vMerge/>
            <w:tcBorders>
              <w:top w:val="nil"/>
              <w:left w:val="single" w:sz="4" w:space="0" w:color="auto"/>
              <w:bottom w:val="single" w:sz="4" w:space="0" w:color="000000"/>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glicerol quinase &gt; 8.000 U/L, peroxidase &gt; 10.000U/L, 4-aminoantipirina 5 mmol/L, ATP</w:t>
            </w:r>
          </w:p>
        </w:tc>
        <w:tc>
          <w:tcPr>
            <w:tcW w:w="1276"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gridAfter w:val="1"/>
          <w:wAfter w:w="208" w:type="dxa"/>
          <w:trHeight w:val="315"/>
        </w:trPr>
        <w:tc>
          <w:tcPr>
            <w:tcW w:w="714" w:type="dxa"/>
            <w:vMerge/>
            <w:tcBorders>
              <w:top w:val="nil"/>
              <w:left w:val="single" w:sz="4" w:space="0" w:color="auto"/>
              <w:bottom w:val="single" w:sz="4" w:space="0" w:color="000000"/>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3 mmol/L, cloreto de magnésio 5 mmol/L e azida sódica 0,1 g/dl. Conservar entre 2 e 8°C.</w:t>
            </w:r>
          </w:p>
        </w:tc>
        <w:tc>
          <w:tcPr>
            <w:tcW w:w="1276"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gridAfter w:val="1"/>
          <w:wAfter w:w="208" w:type="dxa"/>
          <w:trHeight w:val="315"/>
        </w:trPr>
        <w:tc>
          <w:tcPr>
            <w:tcW w:w="714" w:type="dxa"/>
            <w:vMerge/>
            <w:tcBorders>
              <w:top w:val="nil"/>
              <w:left w:val="single" w:sz="4" w:space="0" w:color="auto"/>
              <w:bottom w:val="single" w:sz="4" w:space="0" w:color="000000"/>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 xml:space="preserve">3) Padrão: 1 frasco com 5,0 ml de padrão, contém glicerol 2,26mmol/L, equivalente a </w:t>
            </w:r>
          </w:p>
        </w:tc>
        <w:tc>
          <w:tcPr>
            <w:tcW w:w="1276"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gridAfter w:val="1"/>
          <w:wAfter w:w="208" w:type="dxa"/>
          <w:trHeight w:val="315"/>
        </w:trPr>
        <w:tc>
          <w:tcPr>
            <w:tcW w:w="714" w:type="dxa"/>
            <w:vMerge/>
            <w:tcBorders>
              <w:top w:val="nil"/>
              <w:left w:val="single" w:sz="4" w:space="0" w:color="auto"/>
              <w:bottom w:val="single" w:sz="4" w:space="0" w:color="000000"/>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 xml:space="preserve">200 mg/dl em triglicerides, em solução aquosa e azida sódica 0,1 g/dl. </w:t>
            </w:r>
          </w:p>
        </w:tc>
        <w:tc>
          <w:tcPr>
            <w:tcW w:w="1276"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gridAfter w:val="1"/>
          <w:wAfter w:w="208" w:type="dxa"/>
          <w:trHeight w:val="315"/>
        </w:trPr>
        <w:tc>
          <w:tcPr>
            <w:tcW w:w="714" w:type="dxa"/>
            <w:vMerge/>
            <w:tcBorders>
              <w:top w:val="nil"/>
              <w:left w:val="single" w:sz="4" w:space="0" w:color="auto"/>
              <w:bottom w:val="single" w:sz="4" w:space="0" w:color="000000"/>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Conservar entre 2 e 8°C.</w:t>
            </w:r>
          </w:p>
        </w:tc>
        <w:tc>
          <w:tcPr>
            <w:tcW w:w="1276"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gridAfter w:val="1"/>
          <w:wAfter w:w="208" w:type="dxa"/>
          <w:trHeight w:val="315"/>
        </w:trPr>
        <w:tc>
          <w:tcPr>
            <w:tcW w:w="714" w:type="dxa"/>
            <w:vMerge w:val="restart"/>
            <w:tcBorders>
              <w:top w:val="nil"/>
              <w:left w:val="single" w:sz="4" w:space="0" w:color="auto"/>
              <w:bottom w:val="single" w:sz="4" w:space="0" w:color="000000"/>
              <w:right w:val="nil"/>
            </w:tcBorders>
            <w:shd w:val="clear" w:color="auto" w:fill="auto"/>
            <w:noWrap/>
            <w:vAlign w:val="center"/>
            <w:hideMark/>
          </w:tcPr>
          <w:p w:rsidR="00C60AED" w:rsidRPr="00C60AED" w:rsidRDefault="00C60AED"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Kit de ácido úrico enzimático conjunto para 200 determinações de ácido úrico, contendo:</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Caixa</w:t>
            </w:r>
          </w:p>
        </w:tc>
        <w:tc>
          <w:tcPr>
            <w:tcW w:w="16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20</w:t>
            </w:r>
          </w:p>
        </w:tc>
        <w:tc>
          <w:tcPr>
            <w:tcW w:w="132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 </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 </w:t>
            </w:r>
          </w:p>
        </w:tc>
      </w:tr>
      <w:tr w:rsidR="00C60AED" w:rsidRPr="00997A59" w:rsidTr="00F95766">
        <w:trPr>
          <w:gridAfter w:val="1"/>
          <w:wAfter w:w="208" w:type="dxa"/>
          <w:trHeight w:val="315"/>
        </w:trPr>
        <w:tc>
          <w:tcPr>
            <w:tcW w:w="714" w:type="dxa"/>
            <w:vMerge/>
            <w:tcBorders>
              <w:top w:val="nil"/>
              <w:left w:val="single" w:sz="4" w:space="0" w:color="auto"/>
              <w:bottom w:val="single" w:sz="4" w:space="0" w:color="000000"/>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1) Reagente Enzimático: 2 frascos com 100 ml cada, solução aquosa contendo tampão</w:t>
            </w:r>
          </w:p>
        </w:tc>
        <w:tc>
          <w:tcPr>
            <w:tcW w:w="1276"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gridAfter w:val="1"/>
          <w:wAfter w:w="208" w:type="dxa"/>
          <w:trHeight w:val="315"/>
        </w:trPr>
        <w:tc>
          <w:tcPr>
            <w:tcW w:w="714" w:type="dxa"/>
            <w:vMerge/>
            <w:tcBorders>
              <w:top w:val="nil"/>
              <w:left w:val="single" w:sz="4" w:space="0" w:color="auto"/>
              <w:bottom w:val="single" w:sz="4" w:space="0" w:color="000000"/>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 xml:space="preserve">pH 7,20, Uricase &gt; 120U/L, peroxidase &gt;100U/L, 4- aminoantipirina 1,0mmol/L, TOOS </w:t>
            </w:r>
          </w:p>
        </w:tc>
        <w:tc>
          <w:tcPr>
            <w:tcW w:w="1276"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gridAfter w:val="1"/>
          <w:wAfter w:w="208" w:type="dxa"/>
          <w:trHeight w:val="315"/>
        </w:trPr>
        <w:tc>
          <w:tcPr>
            <w:tcW w:w="714" w:type="dxa"/>
            <w:vMerge/>
            <w:tcBorders>
              <w:top w:val="nil"/>
              <w:left w:val="single" w:sz="4" w:space="0" w:color="auto"/>
              <w:bottom w:val="single" w:sz="4" w:space="0" w:color="000000"/>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0,60 mmol/L e azida sódica 0,1g/dl.</w:t>
            </w:r>
          </w:p>
        </w:tc>
        <w:tc>
          <w:tcPr>
            <w:tcW w:w="1276"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gridAfter w:val="1"/>
          <w:wAfter w:w="208" w:type="dxa"/>
          <w:trHeight w:val="315"/>
        </w:trPr>
        <w:tc>
          <w:tcPr>
            <w:tcW w:w="714" w:type="dxa"/>
            <w:vMerge/>
            <w:tcBorders>
              <w:top w:val="nil"/>
              <w:left w:val="single" w:sz="4" w:space="0" w:color="auto"/>
              <w:bottom w:val="single" w:sz="4" w:space="0" w:color="000000"/>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Conservar entre 2 e 8 °C.</w:t>
            </w:r>
          </w:p>
        </w:tc>
        <w:tc>
          <w:tcPr>
            <w:tcW w:w="1276"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gridAfter w:val="1"/>
          <w:wAfter w:w="208" w:type="dxa"/>
          <w:trHeight w:val="315"/>
        </w:trPr>
        <w:tc>
          <w:tcPr>
            <w:tcW w:w="714" w:type="dxa"/>
            <w:vMerge/>
            <w:tcBorders>
              <w:top w:val="nil"/>
              <w:left w:val="single" w:sz="4" w:space="0" w:color="auto"/>
              <w:bottom w:val="single" w:sz="4" w:space="0" w:color="000000"/>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 xml:space="preserve">2) Padrão: 1 frasco com 5,0 ml, contendo ácido úrico 8 md/dl (0,476 mmol/L) em </w:t>
            </w:r>
          </w:p>
        </w:tc>
        <w:tc>
          <w:tcPr>
            <w:tcW w:w="1276"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gridAfter w:val="1"/>
          <w:wAfter w:w="208" w:type="dxa"/>
          <w:trHeight w:val="315"/>
        </w:trPr>
        <w:tc>
          <w:tcPr>
            <w:tcW w:w="714" w:type="dxa"/>
            <w:vMerge/>
            <w:tcBorders>
              <w:top w:val="nil"/>
              <w:left w:val="single" w:sz="4" w:space="0" w:color="auto"/>
              <w:bottom w:val="single" w:sz="4" w:space="0" w:color="000000"/>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single" w:sz="4" w:space="0" w:color="auto"/>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solução aquosa e azida sódica 0,1 g/dl. Conservar entre 2 e 8°C.</w:t>
            </w:r>
          </w:p>
        </w:tc>
        <w:tc>
          <w:tcPr>
            <w:tcW w:w="1276"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gridAfter w:val="1"/>
          <w:wAfter w:w="208" w:type="dxa"/>
          <w:trHeight w:val="315"/>
        </w:trPr>
        <w:tc>
          <w:tcPr>
            <w:tcW w:w="714" w:type="dxa"/>
            <w:vMerge w:val="restart"/>
            <w:tcBorders>
              <w:top w:val="nil"/>
              <w:left w:val="single" w:sz="4" w:space="0" w:color="auto"/>
              <w:bottom w:val="single" w:sz="4" w:space="0" w:color="000000"/>
              <w:right w:val="nil"/>
            </w:tcBorders>
            <w:shd w:val="clear" w:color="auto" w:fill="auto"/>
            <w:noWrap/>
            <w:vAlign w:val="center"/>
            <w:hideMark/>
          </w:tcPr>
          <w:p w:rsidR="00C60AED" w:rsidRPr="00C60AED" w:rsidRDefault="00C60AED"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Kit de uréia  conjunto para derminações de uréia, contendo:</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Caixa</w:t>
            </w:r>
          </w:p>
        </w:tc>
        <w:tc>
          <w:tcPr>
            <w:tcW w:w="16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20</w:t>
            </w:r>
          </w:p>
        </w:tc>
        <w:tc>
          <w:tcPr>
            <w:tcW w:w="132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 </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 </w:t>
            </w:r>
          </w:p>
        </w:tc>
      </w:tr>
      <w:tr w:rsidR="00C60AED" w:rsidRPr="00997A59" w:rsidTr="00F95766">
        <w:trPr>
          <w:gridAfter w:val="1"/>
          <w:wAfter w:w="208" w:type="dxa"/>
          <w:trHeight w:val="315"/>
        </w:trPr>
        <w:tc>
          <w:tcPr>
            <w:tcW w:w="714" w:type="dxa"/>
            <w:vMerge/>
            <w:tcBorders>
              <w:top w:val="nil"/>
              <w:left w:val="single" w:sz="4" w:space="0" w:color="auto"/>
              <w:bottom w:val="single" w:sz="4" w:space="0" w:color="000000"/>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1) Tampão: 3 frascos com 50 ml cada, de solução tamponada em pH 7,80, contendo</w:t>
            </w:r>
          </w:p>
        </w:tc>
        <w:tc>
          <w:tcPr>
            <w:tcW w:w="1276"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gridAfter w:val="1"/>
          <w:wAfter w:w="208" w:type="dxa"/>
          <w:trHeight w:val="315"/>
        </w:trPr>
        <w:tc>
          <w:tcPr>
            <w:tcW w:w="714" w:type="dxa"/>
            <w:vMerge/>
            <w:tcBorders>
              <w:top w:val="nil"/>
              <w:left w:val="single" w:sz="4" w:space="0" w:color="auto"/>
              <w:bottom w:val="single" w:sz="4" w:space="0" w:color="000000"/>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a-cetoglutarato 10 mmol/L e azida sódica 15,5 mmol/L.</w:t>
            </w:r>
          </w:p>
        </w:tc>
        <w:tc>
          <w:tcPr>
            <w:tcW w:w="1276"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gridAfter w:val="1"/>
          <w:wAfter w:w="208" w:type="dxa"/>
          <w:trHeight w:val="315"/>
        </w:trPr>
        <w:tc>
          <w:tcPr>
            <w:tcW w:w="714" w:type="dxa"/>
            <w:vMerge/>
            <w:tcBorders>
              <w:top w:val="nil"/>
              <w:left w:val="single" w:sz="4" w:space="0" w:color="auto"/>
              <w:bottom w:val="single" w:sz="4" w:space="0" w:color="000000"/>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2) Enzimas: 1 frasco com 1,5ml de solução tamponada em pH7,00, 100x concentrada,</w:t>
            </w:r>
          </w:p>
        </w:tc>
        <w:tc>
          <w:tcPr>
            <w:tcW w:w="1276"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gridAfter w:val="1"/>
          <w:wAfter w:w="208" w:type="dxa"/>
          <w:trHeight w:val="315"/>
        </w:trPr>
        <w:tc>
          <w:tcPr>
            <w:tcW w:w="714" w:type="dxa"/>
            <w:vMerge/>
            <w:tcBorders>
              <w:top w:val="nil"/>
              <w:left w:val="single" w:sz="4" w:space="0" w:color="auto"/>
              <w:bottom w:val="single" w:sz="4" w:space="0" w:color="000000"/>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contendo urease &gt; 500 KU/L, desidrogenase glutâmica &gt;150KU/L e azida sódica</w:t>
            </w:r>
          </w:p>
        </w:tc>
        <w:tc>
          <w:tcPr>
            <w:tcW w:w="1276"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gridAfter w:val="1"/>
          <w:wAfter w:w="208" w:type="dxa"/>
          <w:trHeight w:val="315"/>
        </w:trPr>
        <w:tc>
          <w:tcPr>
            <w:tcW w:w="714" w:type="dxa"/>
            <w:vMerge/>
            <w:tcBorders>
              <w:top w:val="nil"/>
              <w:left w:val="single" w:sz="4" w:space="0" w:color="auto"/>
              <w:bottom w:val="single" w:sz="4" w:space="0" w:color="000000"/>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23mmol/L.</w:t>
            </w:r>
          </w:p>
        </w:tc>
        <w:tc>
          <w:tcPr>
            <w:tcW w:w="1276"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C60AED" w:rsidTr="00F95766">
        <w:trPr>
          <w:gridAfter w:val="7"/>
          <w:wAfter w:w="9989" w:type="dxa"/>
          <w:trHeight w:val="538"/>
        </w:trPr>
        <w:tc>
          <w:tcPr>
            <w:tcW w:w="714" w:type="dxa"/>
            <w:vMerge/>
            <w:tcBorders>
              <w:top w:val="nil"/>
              <w:left w:val="single" w:sz="4" w:space="0" w:color="auto"/>
              <w:bottom w:val="single" w:sz="4" w:space="0" w:color="000000"/>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r>
      <w:tr w:rsidR="00C60AED" w:rsidRPr="00997A59" w:rsidTr="00F95766">
        <w:trPr>
          <w:trHeight w:val="315"/>
        </w:trPr>
        <w:tc>
          <w:tcPr>
            <w:tcW w:w="714" w:type="dxa"/>
            <w:vMerge/>
            <w:tcBorders>
              <w:top w:val="nil"/>
              <w:left w:val="single" w:sz="4" w:space="0" w:color="auto"/>
              <w:bottom w:val="single" w:sz="4" w:space="0" w:color="000000"/>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3) Coenzima: 1 frasco contendo NADH2 em forma liofilizada na concentração de 25</w:t>
            </w:r>
          </w:p>
        </w:tc>
        <w:tc>
          <w:tcPr>
            <w:tcW w:w="1276" w:type="dxa"/>
            <w:vMerge w:val="restart"/>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val="restart"/>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406" w:type="dxa"/>
            <w:gridSpan w:val="2"/>
            <w:vMerge w:val="restart"/>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256" w:type="dxa"/>
            <w:gridSpan w:val="2"/>
            <w:vMerge w:val="restart"/>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trHeight w:val="315"/>
        </w:trPr>
        <w:tc>
          <w:tcPr>
            <w:tcW w:w="714" w:type="dxa"/>
            <w:vMerge/>
            <w:tcBorders>
              <w:top w:val="nil"/>
              <w:left w:val="single" w:sz="4" w:space="0" w:color="auto"/>
              <w:bottom w:val="single" w:sz="4" w:space="0" w:color="000000"/>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mmol/L após reconstituição.</w:t>
            </w:r>
          </w:p>
        </w:tc>
        <w:tc>
          <w:tcPr>
            <w:tcW w:w="1276"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40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25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trHeight w:val="315"/>
        </w:trPr>
        <w:tc>
          <w:tcPr>
            <w:tcW w:w="714" w:type="dxa"/>
            <w:vMerge/>
            <w:tcBorders>
              <w:top w:val="nil"/>
              <w:left w:val="single" w:sz="4" w:space="0" w:color="auto"/>
              <w:bottom w:val="single" w:sz="4" w:space="0" w:color="000000"/>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 xml:space="preserve">4) Padrão: 1 frasco com 3,0 ml de solução aquosa de uréia 70mg/dl (11,67 mmol/L), </w:t>
            </w:r>
          </w:p>
        </w:tc>
        <w:tc>
          <w:tcPr>
            <w:tcW w:w="1276"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40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25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trHeight w:val="315"/>
        </w:trPr>
        <w:tc>
          <w:tcPr>
            <w:tcW w:w="714" w:type="dxa"/>
            <w:vMerge/>
            <w:tcBorders>
              <w:top w:val="nil"/>
              <w:left w:val="single" w:sz="4" w:space="0" w:color="auto"/>
              <w:bottom w:val="single" w:sz="4" w:space="0" w:color="000000"/>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single" w:sz="4" w:space="0" w:color="auto"/>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contendo ácido benzóico 20 mmol/L.</w:t>
            </w:r>
          </w:p>
        </w:tc>
        <w:tc>
          <w:tcPr>
            <w:tcW w:w="1276"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40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25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trHeight w:val="315"/>
        </w:trPr>
        <w:tc>
          <w:tcPr>
            <w:tcW w:w="714" w:type="dxa"/>
            <w:vMerge w:val="restart"/>
            <w:tcBorders>
              <w:top w:val="nil"/>
              <w:left w:val="single" w:sz="4" w:space="0" w:color="auto"/>
              <w:bottom w:val="single" w:sz="4" w:space="0" w:color="000000"/>
              <w:right w:val="nil"/>
            </w:tcBorders>
            <w:shd w:val="clear" w:color="auto" w:fill="auto"/>
            <w:noWrap/>
            <w:vAlign w:val="center"/>
            <w:hideMark/>
          </w:tcPr>
          <w:p w:rsidR="00C60AED" w:rsidRPr="00C60AED" w:rsidRDefault="00C60AED"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Kit de bilirrubina conjunto para 88-222 determinações de bilirrubina, contendo:</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Caixa</w:t>
            </w:r>
          </w:p>
        </w:tc>
        <w:tc>
          <w:tcPr>
            <w:tcW w:w="16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10</w:t>
            </w:r>
          </w:p>
        </w:tc>
        <w:tc>
          <w:tcPr>
            <w:tcW w:w="1406"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 </w:t>
            </w:r>
          </w:p>
        </w:tc>
        <w:tc>
          <w:tcPr>
            <w:tcW w:w="1256"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 </w:t>
            </w:r>
          </w:p>
        </w:tc>
      </w:tr>
      <w:tr w:rsidR="00C60AED" w:rsidRPr="00997A59" w:rsidTr="00F95766">
        <w:trPr>
          <w:trHeight w:val="315"/>
        </w:trPr>
        <w:tc>
          <w:tcPr>
            <w:tcW w:w="714" w:type="dxa"/>
            <w:vMerge/>
            <w:tcBorders>
              <w:top w:val="nil"/>
              <w:left w:val="single" w:sz="4" w:space="0" w:color="auto"/>
              <w:bottom w:val="single" w:sz="4" w:space="0" w:color="000000"/>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 xml:space="preserve">1) Acelerador: 2 frascos com 100 ml cada, de solução de cafeína 130mmol/L, benzoato </w:t>
            </w:r>
          </w:p>
        </w:tc>
        <w:tc>
          <w:tcPr>
            <w:tcW w:w="1276"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40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25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trHeight w:val="315"/>
        </w:trPr>
        <w:tc>
          <w:tcPr>
            <w:tcW w:w="714" w:type="dxa"/>
            <w:vMerge/>
            <w:tcBorders>
              <w:top w:val="nil"/>
              <w:left w:val="single" w:sz="4" w:space="0" w:color="auto"/>
              <w:bottom w:val="single" w:sz="4" w:space="0" w:color="000000"/>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 xml:space="preserve">de sódio 260 mmol/L e acetato de sódio 460 mmol/L. Conservar entre 2 e 8 graus C. </w:t>
            </w:r>
          </w:p>
        </w:tc>
        <w:tc>
          <w:tcPr>
            <w:tcW w:w="1276"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40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25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trHeight w:val="315"/>
        </w:trPr>
        <w:tc>
          <w:tcPr>
            <w:tcW w:w="714" w:type="dxa"/>
            <w:vMerge/>
            <w:tcBorders>
              <w:top w:val="nil"/>
              <w:left w:val="single" w:sz="4" w:space="0" w:color="auto"/>
              <w:bottom w:val="single" w:sz="4" w:space="0" w:color="000000"/>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2) Ácido sulfanílico: 1 frasco com 96 ml, de solução de ácido sulfanílico 5,75 mmol/L</w:t>
            </w:r>
          </w:p>
        </w:tc>
        <w:tc>
          <w:tcPr>
            <w:tcW w:w="1276"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40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25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trHeight w:val="315"/>
        </w:trPr>
        <w:tc>
          <w:tcPr>
            <w:tcW w:w="714" w:type="dxa"/>
            <w:vMerge/>
            <w:tcBorders>
              <w:top w:val="nil"/>
              <w:left w:val="single" w:sz="4" w:space="0" w:color="auto"/>
              <w:bottom w:val="single" w:sz="4" w:space="0" w:color="000000"/>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em ácido clorídrico 180 mmol/L. Conservar entre 2 e 8°C.</w:t>
            </w:r>
          </w:p>
        </w:tc>
        <w:tc>
          <w:tcPr>
            <w:tcW w:w="1276"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40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25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trHeight w:val="315"/>
        </w:trPr>
        <w:tc>
          <w:tcPr>
            <w:tcW w:w="714" w:type="dxa"/>
            <w:vMerge/>
            <w:tcBorders>
              <w:top w:val="nil"/>
              <w:left w:val="single" w:sz="4" w:space="0" w:color="auto"/>
              <w:bottom w:val="single" w:sz="4" w:space="0" w:color="000000"/>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3) Nitrito de sódio: 1 frasco com 4,0 ml de solução de nitrito de sódio (72,4 mmol/L).</w:t>
            </w:r>
          </w:p>
        </w:tc>
        <w:tc>
          <w:tcPr>
            <w:tcW w:w="1276"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40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25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trHeight w:val="315"/>
        </w:trPr>
        <w:tc>
          <w:tcPr>
            <w:tcW w:w="714" w:type="dxa"/>
            <w:vMerge/>
            <w:tcBorders>
              <w:top w:val="nil"/>
              <w:left w:val="single" w:sz="4" w:space="0" w:color="auto"/>
              <w:bottom w:val="single" w:sz="4" w:space="0" w:color="000000"/>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 xml:space="preserve">Conservar entre 2 e 8 graus C. </w:t>
            </w:r>
          </w:p>
        </w:tc>
        <w:tc>
          <w:tcPr>
            <w:tcW w:w="1276"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40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25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trHeight w:val="315"/>
        </w:trPr>
        <w:tc>
          <w:tcPr>
            <w:tcW w:w="714" w:type="dxa"/>
            <w:vMerge/>
            <w:tcBorders>
              <w:top w:val="nil"/>
              <w:left w:val="single" w:sz="4" w:space="0" w:color="auto"/>
              <w:bottom w:val="single" w:sz="4" w:space="0" w:color="000000"/>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4) Padrão: 1 frasco com 3,0 mg de bilirrubina dessecada. Conservar entre 2 e 8 °C.</w:t>
            </w:r>
          </w:p>
        </w:tc>
        <w:tc>
          <w:tcPr>
            <w:tcW w:w="1276"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40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25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trHeight w:val="315"/>
        </w:trPr>
        <w:tc>
          <w:tcPr>
            <w:tcW w:w="714" w:type="dxa"/>
            <w:vMerge/>
            <w:tcBorders>
              <w:top w:val="nil"/>
              <w:left w:val="single" w:sz="4" w:space="0" w:color="auto"/>
              <w:bottom w:val="single" w:sz="4" w:space="0" w:color="000000"/>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 xml:space="preserve">5) Solvente: 1 frasco com 3,5 ml de </w:t>
            </w:r>
            <w:r w:rsidRPr="00C60AED">
              <w:rPr>
                <w:rFonts w:ascii="Century Gothic" w:hAnsi="Century Gothic" w:cs="Arial"/>
                <w:sz w:val="24"/>
                <w:szCs w:val="24"/>
              </w:rPr>
              <w:lastRenderedPageBreak/>
              <w:t>dimetilsulfóxido anidro. Conserve entre 2 e 8°C.</w:t>
            </w:r>
          </w:p>
        </w:tc>
        <w:tc>
          <w:tcPr>
            <w:tcW w:w="1276"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40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25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trHeight w:val="315"/>
        </w:trPr>
        <w:tc>
          <w:tcPr>
            <w:tcW w:w="714" w:type="dxa"/>
            <w:vMerge w:val="restart"/>
            <w:tcBorders>
              <w:top w:val="nil"/>
              <w:left w:val="single" w:sz="4" w:space="0" w:color="auto"/>
              <w:bottom w:val="single" w:sz="4" w:space="0" w:color="000000"/>
              <w:right w:val="nil"/>
            </w:tcBorders>
            <w:shd w:val="clear" w:color="auto" w:fill="auto"/>
            <w:noWrap/>
            <w:vAlign w:val="center"/>
            <w:hideMark/>
          </w:tcPr>
          <w:p w:rsidR="00C60AED" w:rsidRPr="00C60AED" w:rsidRDefault="00C60AED"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 xml:space="preserve">Kit de TGP cinética conjunto para 100 determinações da Alamina amino transferase </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Caixa</w:t>
            </w:r>
          </w:p>
        </w:tc>
        <w:tc>
          <w:tcPr>
            <w:tcW w:w="16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15</w:t>
            </w:r>
          </w:p>
        </w:tc>
        <w:tc>
          <w:tcPr>
            <w:tcW w:w="1406"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 </w:t>
            </w:r>
          </w:p>
        </w:tc>
        <w:tc>
          <w:tcPr>
            <w:tcW w:w="1256"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 </w:t>
            </w:r>
          </w:p>
        </w:tc>
      </w:tr>
      <w:tr w:rsidR="00C60AED" w:rsidRPr="00997A59" w:rsidTr="00F95766">
        <w:trPr>
          <w:trHeight w:val="315"/>
        </w:trPr>
        <w:tc>
          <w:tcPr>
            <w:tcW w:w="714" w:type="dxa"/>
            <w:vMerge/>
            <w:tcBorders>
              <w:top w:val="nil"/>
              <w:left w:val="single" w:sz="4" w:space="0" w:color="auto"/>
              <w:bottom w:val="single" w:sz="4" w:space="0" w:color="000000"/>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(GPT), contendo: 1) Tampão: 4 frascos com 25 ml cada, de solução tamponada em pH</w:t>
            </w:r>
          </w:p>
        </w:tc>
        <w:tc>
          <w:tcPr>
            <w:tcW w:w="1276"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40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25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trHeight w:val="315"/>
        </w:trPr>
        <w:tc>
          <w:tcPr>
            <w:tcW w:w="714" w:type="dxa"/>
            <w:vMerge/>
            <w:tcBorders>
              <w:top w:val="nil"/>
              <w:left w:val="single" w:sz="4" w:space="0" w:color="auto"/>
              <w:bottom w:val="single" w:sz="4" w:space="0" w:color="000000"/>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 xml:space="preserve">7,80, contendo a-cefoglutarato 12 mmol/L, L-alanina 500 mmol/L, EDTA 5 mmol/L e </w:t>
            </w:r>
          </w:p>
        </w:tc>
        <w:tc>
          <w:tcPr>
            <w:tcW w:w="1276"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40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25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trHeight w:val="315"/>
        </w:trPr>
        <w:tc>
          <w:tcPr>
            <w:tcW w:w="714" w:type="dxa"/>
            <w:vMerge/>
            <w:tcBorders>
              <w:top w:val="nil"/>
              <w:left w:val="single" w:sz="4" w:space="0" w:color="auto"/>
              <w:bottom w:val="single" w:sz="4" w:space="0" w:color="000000"/>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azida sódica 15,5 mmol/L.</w:t>
            </w:r>
          </w:p>
        </w:tc>
        <w:tc>
          <w:tcPr>
            <w:tcW w:w="1276"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40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25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trHeight w:val="315"/>
        </w:trPr>
        <w:tc>
          <w:tcPr>
            <w:tcW w:w="714" w:type="dxa"/>
            <w:vMerge/>
            <w:tcBorders>
              <w:top w:val="nil"/>
              <w:left w:val="single" w:sz="4" w:space="0" w:color="auto"/>
              <w:bottom w:val="single" w:sz="4" w:space="0" w:color="000000"/>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 xml:space="preserve">2) Reagente enzimático: 1 frasco com 1,0 ml de solução tamponada em pH 7,80, </w:t>
            </w:r>
          </w:p>
        </w:tc>
        <w:tc>
          <w:tcPr>
            <w:tcW w:w="1276"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40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25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trHeight w:val="315"/>
        </w:trPr>
        <w:tc>
          <w:tcPr>
            <w:tcW w:w="714" w:type="dxa"/>
            <w:vMerge/>
            <w:tcBorders>
              <w:top w:val="nil"/>
              <w:left w:val="single" w:sz="4" w:space="0" w:color="auto"/>
              <w:bottom w:val="single" w:sz="4" w:space="0" w:color="000000"/>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 xml:space="preserve">100x concentrada, contendo desidrogenase láctica &gt; 120.000 U/L e azida sódica </w:t>
            </w:r>
          </w:p>
        </w:tc>
        <w:tc>
          <w:tcPr>
            <w:tcW w:w="1276"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40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25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trHeight w:val="315"/>
        </w:trPr>
        <w:tc>
          <w:tcPr>
            <w:tcW w:w="714" w:type="dxa"/>
            <w:vMerge/>
            <w:tcBorders>
              <w:top w:val="nil"/>
              <w:left w:val="single" w:sz="4" w:space="0" w:color="auto"/>
              <w:bottom w:val="single" w:sz="4" w:space="0" w:color="000000"/>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15,5 mmol/L.</w:t>
            </w:r>
          </w:p>
        </w:tc>
        <w:tc>
          <w:tcPr>
            <w:tcW w:w="1276"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40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25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trHeight w:val="315"/>
        </w:trPr>
        <w:tc>
          <w:tcPr>
            <w:tcW w:w="714" w:type="dxa"/>
            <w:vMerge/>
            <w:tcBorders>
              <w:top w:val="nil"/>
              <w:left w:val="single" w:sz="4" w:space="0" w:color="auto"/>
              <w:bottom w:val="single" w:sz="4" w:space="0" w:color="000000"/>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3) Coenzima: 1 frasco contendo NADH2 em forma liofilizada na concentração de 25</w:t>
            </w:r>
          </w:p>
        </w:tc>
        <w:tc>
          <w:tcPr>
            <w:tcW w:w="1276"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40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25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trHeight w:val="315"/>
        </w:trPr>
        <w:tc>
          <w:tcPr>
            <w:tcW w:w="714" w:type="dxa"/>
            <w:vMerge/>
            <w:tcBorders>
              <w:top w:val="nil"/>
              <w:left w:val="single" w:sz="4" w:space="0" w:color="auto"/>
              <w:bottom w:val="single" w:sz="4" w:space="0" w:color="000000"/>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single" w:sz="4" w:space="0" w:color="auto"/>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mmol/L após reconstituição.</w:t>
            </w:r>
          </w:p>
        </w:tc>
        <w:tc>
          <w:tcPr>
            <w:tcW w:w="1276"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40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25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trHeight w:val="315"/>
        </w:trPr>
        <w:tc>
          <w:tcPr>
            <w:tcW w:w="714" w:type="dxa"/>
            <w:vMerge w:val="restart"/>
            <w:tcBorders>
              <w:top w:val="nil"/>
              <w:left w:val="single" w:sz="4" w:space="0" w:color="auto"/>
              <w:bottom w:val="single" w:sz="4" w:space="0" w:color="000000"/>
              <w:right w:val="nil"/>
            </w:tcBorders>
            <w:shd w:val="clear" w:color="auto" w:fill="auto"/>
            <w:noWrap/>
            <w:vAlign w:val="center"/>
            <w:hideMark/>
          </w:tcPr>
          <w:p w:rsidR="00C60AED" w:rsidRPr="00C60AED" w:rsidRDefault="00C60AED"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Kit de TGO cinética conjunto para 100 determinações da Asparato amino transferase</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Caixa</w:t>
            </w:r>
          </w:p>
        </w:tc>
        <w:tc>
          <w:tcPr>
            <w:tcW w:w="16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15</w:t>
            </w:r>
          </w:p>
        </w:tc>
        <w:tc>
          <w:tcPr>
            <w:tcW w:w="1406"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 </w:t>
            </w:r>
          </w:p>
        </w:tc>
        <w:tc>
          <w:tcPr>
            <w:tcW w:w="1256"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 </w:t>
            </w:r>
          </w:p>
        </w:tc>
      </w:tr>
      <w:tr w:rsidR="00C60AED" w:rsidRPr="00997A59" w:rsidTr="00F95766">
        <w:trPr>
          <w:trHeight w:val="315"/>
        </w:trPr>
        <w:tc>
          <w:tcPr>
            <w:tcW w:w="714" w:type="dxa"/>
            <w:vMerge/>
            <w:tcBorders>
              <w:top w:val="nil"/>
              <w:left w:val="single" w:sz="4" w:space="0" w:color="auto"/>
              <w:bottom w:val="single" w:sz="4" w:space="0" w:color="000000"/>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(GOT), contendo: 1) Tampão: 4 frascos com 25 ml cada, de solução tamponada em pH</w:t>
            </w:r>
          </w:p>
        </w:tc>
        <w:tc>
          <w:tcPr>
            <w:tcW w:w="1276"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40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25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trHeight w:val="315"/>
        </w:trPr>
        <w:tc>
          <w:tcPr>
            <w:tcW w:w="714" w:type="dxa"/>
            <w:vMerge/>
            <w:tcBorders>
              <w:top w:val="nil"/>
              <w:left w:val="single" w:sz="4" w:space="0" w:color="auto"/>
              <w:bottom w:val="single" w:sz="4" w:space="0" w:color="000000"/>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 xml:space="preserve"> 7,80, contendo a-cefoglutarato 12 mmol/L, L-aspartato 240 mmol/L, EDTA 5 mmol/L</w:t>
            </w:r>
          </w:p>
        </w:tc>
        <w:tc>
          <w:tcPr>
            <w:tcW w:w="1276"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40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25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trHeight w:val="315"/>
        </w:trPr>
        <w:tc>
          <w:tcPr>
            <w:tcW w:w="714" w:type="dxa"/>
            <w:vMerge/>
            <w:tcBorders>
              <w:top w:val="nil"/>
              <w:left w:val="single" w:sz="4" w:space="0" w:color="auto"/>
              <w:bottom w:val="single" w:sz="4" w:space="0" w:color="000000"/>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e azida sódica 15,5 mmol/L.</w:t>
            </w:r>
          </w:p>
        </w:tc>
        <w:tc>
          <w:tcPr>
            <w:tcW w:w="1276"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40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25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trHeight w:val="315"/>
        </w:trPr>
        <w:tc>
          <w:tcPr>
            <w:tcW w:w="714" w:type="dxa"/>
            <w:vMerge/>
            <w:tcBorders>
              <w:top w:val="nil"/>
              <w:left w:val="single" w:sz="4" w:space="0" w:color="auto"/>
              <w:bottom w:val="single" w:sz="4" w:space="0" w:color="000000"/>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 xml:space="preserve">2) Reagente enzimático: 1 frasco com 1,0 ml de solução tamponada em pH 7,80, </w:t>
            </w:r>
          </w:p>
        </w:tc>
        <w:tc>
          <w:tcPr>
            <w:tcW w:w="1276"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40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25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trHeight w:val="315"/>
        </w:trPr>
        <w:tc>
          <w:tcPr>
            <w:tcW w:w="714" w:type="dxa"/>
            <w:vMerge/>
            <w:tcBorders>
              <w:top w:val="nil"/>
              <w:left w:val="single" w:sz="4" w:space="0" w:color="auto"/>
              <w:bottom w:val="single" w:sz="4" w:space="0" w:color="000000"/>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100x concentrada, contendo desidrogenase málica &gt; 4.200 U/L, desidrogenase</w:t>
            </w:r>
          </w:p>
        </w:tc>
        <w:tc>
          <w:tcPr>
            <w:tcW w:w="1276"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40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25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trHeight w:val="315"/>
        </w:trPr>
        <w:tc>
          <w:tcPr>
            <w:tcW w:w="714" w:type="dxa"/>
            <w:vMerge/>
            <w:tcBorders>
              <w:top w:val="nil"/>
              <w:left w:val="single" w:sz="4" w:space="0" w:color="auto"/>
              <w:bottom w:val="single" w:sz="4" w:space="0" w:color="000000"/>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láctica &gt;60.000 U/L e azida sódica 15,5 mmol/L.</w:t>
            </w:r>
          </w:p>
        </w:tc>
        <w:tc>
          <w:tcPr>
            <w:tcW w:w="1276"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40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25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trHeight w:val="315"/>
        </w:trPr>
        <w:tc>
          <w:tcPr>
            <w:tcW w:w="714" w:type="dxa"/>
            <w:vMerge/>
            <w:tcBorders>
              <w:top w:val="nil"/>
              <w:left w:val="single" w:sz="4" w:space="0" w:color="auto"/>
              <w:bottom w:val="single" w:sz="4" w:space="0" w:color="000000"/>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 xml:space="preserve">3) Coenzima: 1 frasco contendo </w:t>
            </w:r>
            <w:r w:rsidRPr="00C60AED">
              <w:rPr>
                <w:rFonts w:ascii="Century Gothic" w:hAnsi="Century Gothic" w:cs="Arial"/>
                <w:sz w:val="24"/>
                <w:szCs w:val="24"/>
              </w:rPr>
              <w:lastRenderedPageBreak/>
              <w:t>NADH2 em forma liofilizada na concentração de 25</w:t>
            </w:r>
          </w:p>
        </w:tc>
        <w:tc>
          <w:tcPr>
            <w:tcW w:w="1276"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40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25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trHeight w:val="315"/>
        </w:trPr>
        <w:tc>
          <w:tcPr>
            <w:tcW w:w="714" w:type="dxa"/>
            <w:vMerge/>
            <w:tcBorders>
              <w:top w:val="nil"/>
              <w:left w:val="single" w:sz="4" w:space="0" w:color="auto"/>
              <w:bottom w:val="single" w:sz="4" w:space="0" w:color="000000"/>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mmol/L após reconstituição.</w:t>
            </w:r>
          </w:p>
        </w:tc>
        <w:tc>
          <w:tcPr>
            <w:tcW w:w="1276"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40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25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trHeight w:val="315"/>
        </w:trPr>
        <w:tc>
          <w:tcPr>
            <w:tcW w:w="714" w:type="dxa"/>
            <w:vMerge w:val="restart"/>
            <w:tcBorders>
              <w:top w:val="nil"/>
              <w:left w:val="single" w:sz="4" w:space="0" w:color="auto"/>
              <w:bottom w:val="nil"/>
              <w:right w:val="nil"/>
            </w:tcBorders>
            <w:shd w:val="clear" w:color="auto" w:fill="auto"/>
            <w:noWrap/>
            <w:vAlign w:val="center"/>
            <w:hideMark/>
          </w:tcPr>
          <w:p w:rsidR="00C60AED" w:rsidRPr="00C60AED" w:rsidRDefault="00C60AED"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Kit de mucoproteína  colorimétrico contendo:</w:t>
            </w:r>
          </w:p>
        </w:tc>
        <w:tc>
          <w:tcPr>
            <w:tcW w:w="1276" w:type="dxa"/>
            <w:vMerge w:val="restart"/>
            <w:tcBorders>
              <w:top w:val="nil"/>
              <w:left w:val="single" w:sz="4" w:space="0" w:color="auto"/>
              <w:bottom w:val="nil"/>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Caixa</w:t>
            </w:r>
          </w:p>
        </w:tc>
        <w:tc>
          <w:tcPr>
            <w:tcW w:w="1657" w:type="dxa"/>
            <w:vMerge w:val="restart"/>
            <w:tcBorders>
              <w:top w:val="nil"/>
              <w:left w:val="single" w:sz="4" w:space="0" w:color="auto"/>
              <w:bottom w:val="nil"/>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12</w:t>
            </w:r>
          </w:p>
        </w:tc>
        <w:tc>
          <w:tcPr>
            <w:tcW w:w="1406"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 </w:t>
            </w:r>
          </w:p>
        </w:tc>
        <w:tc>
          <w:tcPr>
            <w:tcW w:w="1256"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 </w:t>
            </w:r>
          </w:p>
        </w:tc>
      </w:tr>
      <w:tr w:rsidR="00C60AED" w:rsidRPr="00997A59" w:rsidTr="00F95766">
        <w:trPr>
          <w:trHeight w:val="315"/>
        </w:trPr>
        <w:tc>
          <w:tcPr>
            <w:tcW w:w="714" w:type="dxa"/>
            <w:vMerge/>
            <w:tcBorders>
              <w:top w:val="nil"/>
              <w:left w:val="single" w:sz="4" w:space="0" w:color="auto"/>
              <w:bottom w:val="nil"/>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1)Reativo Padrão: Solução estabilizada de Tirosina equivalente a 119mg/dl de Muciopro-</w:t>
            </w:r>
          </w:p>
        </w:tc>
        <w:tc>
          <w:tcPr>
            <w:tcW w:w="1276" w:type="dxa"/>
            <w:vMerge/>
            <w:tcBorders>
              <w:top w:val="nil"/>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40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25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trHeight w:val="315"/>
        </w:trPr>
        <w:tc>
          <w:tcPr>
            <w:tcW w:w="714" w:type="dxa"/>
            <w:vMerge/>
            <w:tcBorders>
              <w:top w:val="nil"/>
              <w:left w:val="single" w:sz="4" w:space="0" w:color="auto"/>
              <w:bottom w:val="nil"/>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teínas (5mg/dl de Tirosina), nas condições da reação, volume = 4ml.</w:t>
            </w:r>
          </w:p>
        </w:tc>
        <w:tc>
          <w:tcPr>
            <w:tcW w:w="1276" w:type="dxa"/>
            <w:vMerge/>
            <w:tcBorders>
              <w:top w:val="nil"/>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40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25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trHeight w:val="315"/>
        </w:trPr>
        <w:tc>
          <w:tcPr>
            <w:tcW w:w="714" w:type="dxa"/>
            <w:vMerge/>
            <w:tcBorders>
              <w:top w:val="nil"/>
              <w:left w:val="single" w:sz="4" w:space="0" w:color="auto"/>
              <w:bottom w:val="nil"/>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2)Reativo Desproteinizante: Ácido perclórico 1,2 N (concentrando) volume = 125mL.</w:t>
            </w:r>
          </w:p>
        </w:tc>
        <w:tc>
          <w:tcPr>
            <w:tcW w:w="1276" w:type="dxa"/>
            <w:vMerge/>
            <w:tcBorders>
              <w:top w:val="nil"/>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40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25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trHeight w:val="315"/>
        </w:trPr>
        <w:tc>
          <w:tcPr>
            <w:tcW w:w="714" w:type="dxa"/>
            <w:vMerge/>
            <w:tcBorders>
              <w:top w:val="nil"/>
              <w:left w:val="single" w:sz="4" w:space="0" w:color="auto"/>
              <w:bottom w:val="nil"/>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3)Reativo Precipitante: Ácido Fosfotúngstico 5% em HCI 2 N, volume = 30 ml.</w:t>
            </w:r>
          </w:p>
        </w:tc>
        <w:tc>
          <w:tcPr>
            <w:tcW w:w="1276" w:type="dxa"/>
            <w:vMerge/>
            <w:tcBorders>
              <w:top w:val="nil"/>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40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25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trHeight w:val="315"/>
        </w:trPr>
        <w:tc>
          <w:tcPr>
            <w:tcW w:w="714" w:type="dxa"/>
            <w:vMerge/>
            <w:tcBorders>
              <w:top w:val="nil"/>
              <w:left w:val="single" w:sz="4" w:space="0" w:color="auto"/>
              <w:bottom w:val="nil"/>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4)Reativo Dissolvente Alcalino: Carbonato de Sódio 0,2mol/L (concentrado), volume 120ML</w:t>
            </w:r>
          </w:p>
        </w:tc>
        <w:tc>
          <w:tcPr>
            <w:tcW w:w="1276" w:type="dxa"/>
            <w:vMerge/>
            <w:tcBorders>
              <w:top w:val="nil"/>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40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25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trHeight w:val="315"/>
        </w:trPr>
        <w:tc>
          <w:tcPr>
            <w:tcW w:w="714" w:type="dxa"/>
            <w:vMerge/>
            <w:tcBorders>
              <w:top w:val="nil"/>
              <w:left w:val="single" w:sz="4" w:space="0" w:color="auto"/>
              <w:bottom w:val="nil"/>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5)Reativo Folin - Ciocalteau: reativo Fosfotúngstico - molíbdico, volume = 24 mL.</w:t>
            </w:r>
          </w:p>
        </w:tc>
        <w:tc>
          <w:tcPr>
            <w:tcW w:w="1276" w:type="dxa"/>
            <w:vMerge/>
            <w:tcBorders>
              <w:top w:val="nil"/>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40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25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trHeight w:val="315"/>
        </w:trPr>
        <w:tc>
          <w:tcPr>
            <w:tcW w:w="714" w:type="dxa"/>
            <w:tcBorders>
              <w:top w:val="single" w:sz="4" w:space="0" w:color="auto"/>
              <w:left w:val="single" w:sz="4" w:space="0" w:color="auto"/>
              <w:bottom w:val="single" w:sz="4" w:space="0" w:color="auto"/>
              <w:right w:val="nil"/>
            </w:tcBorders>
            <w:shd w:val="clear" w:color="auto" w:fill="auto"/>
            <w:noWrap/>
            <w:vAlign w:val="center"/>
            <w:hideMark/>
          </w:tcPr>
          <w:p w:rsidR="00C60AED" w:rsidRPr="00C60AED" w:rsidRDefault="00C60AED"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Kit de corante panótico</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Caixa</w:t>
            </w:r>
          </w:p>
        </w:tc>
        <w:tc>
          <w:tcPr>
            <w:tcW w:w="1657" w:type="dxa"/>
            <w:tcBorders>
              <w:top w:val="single" w:sz="4" w:space="0" w:color="auto"/>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4</w:t>
            </w:r>
          </w:p>
        </w:tc>
        <w:tc>
          <w:tcPr>
            <w:tcW w:w="1406" w:type="dxa"/>
            <w:gridSpan w:val="2"/>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c>
          <w:tcPr>
            <w:tcW w:w="1256" w:type="dxa"/>
            <w:gridSpan w:val="2"/>
            <w:tcBorders>
              <w:top w:val="nil"/>
              <w:left w:val="nil"/>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r>
      <w:tr w:rsidR="00C60AED" w:rsidRPr="00997A59" w:rsidTr="00F95766">
        <w:trPr>
          <w:trHeight w:val="315"/>
        </w:trPr>
        <w:tc>
          <w:tcPr>
            <w:tcW w:w="714" w:type="dxa"/>
            <w:vMerge w:val="restart"/>
            <w:tcBorders>
              <w:top w:val="nil"/>
              <w:left w:val="single" w:sz="4" w:space="0" w:color="auto"/>
              <w:bottom w:val="nil"/>
              <w:right w:val="nil"/>
            </w:tcBorders>
            <w:shd w:val="clear" w:color="auto" w:fill="auto"/>
            <w:noWrap/>
            <w:vAlign w:val="center"/>
            <w:hideMark/>
          </w:tcPr>
          <w:p w:rsidR="00C60AED" w:rsidRPr="00C60AED" w:rsidRDefault="00C60AED"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Kit de creatinina cinética conjunto para 100 determinações de creatinina, contendo:</w:t>
            </w:r>
          </w:p>
        </w:tc>
        <w:tc>
          <w:tcPr>
            <w:tcW w:w="1276" w:type="dxa"/>
            <w:vMerge w:val="restart"/>
            <w:tcBorders>
              <w:top w:val="nil"/>
              <w:left w:val="single" w:sz="4" w:space="0" w:color="auto"/>
              <w:bottom w:val="nil"/>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Caixa</w:t>
            </w:r>
          </w:p>
        </w:tc>
        <w:tc>
          <w:tcPr>
            <w:tcW w:w="1657" w:type="dxa"/>
            <w:vMerge w:val="restart"/>
            <w:tcBorders>
              <w:top w:val="nil"/>
              <w:left w:val="single" w:sz="4" w:space="0" w:color="auto"/>
              <w:bottom w:val="nil"/>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18</w:t>
            </w:r>
          </w:p>
        </w:tc>
        <w:tc>
          <w:tcPr>
            <w:tcW w:w="1406"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 </w:t>
            </w:r>
          </w:p>
        </w:tc>
        <w:tc>
          <w:tcPr>
            <w:tcW w:w="1256"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 </w:t>
            </w:r>
          </w:p>
        </w:tc>
      </w:tr>
      <w:tr w:rsidR="00C60AED" w:rsidRPr="00997A59" w:rsidTr="00F95766">
        <w:trPr>
          <w:trHeight w:val="315"/>
        </w:trPr>
        <w:tc>
          <w:tcPr>
            <w:tcW w:w="714" w:type="dxa"/>
            <w:vMerge/>
            <w:tcBorders>
              <w:top w:val="nil"/>
              <w:left w:val="single" w:sz="4" w:space="0" w:color="auto"/>
              <w:bottom w:val="nil"/>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1) Tampão: 2 frascos com 100 ml cada, de solução aquosa contendo hidróxido de sódio</w:t>
            </w:r>
          </w:p>
        </w:tc>
        <w:tc>
          <w:tcPr>
            <w:tcW w:w="1276" w:type="dxa"/>
            <w:vMerge/>
            <w:tcBorders>
              <w:top w:val="nil"/>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40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25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trHeight w:val="315"/>
        </w:trPr>
        <w:tc>
          <w:tcPr>
            <w:tcW w:w="714" w:type="dxa"/>
            <w:vMerge/>
            <w:tcBorders>
              <w:top w:val="nil"/>
              <w:left w:val="single" w:sz="4" w:space="0" w:color="auto"/>
              <w:bottom w:val="nil"/>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125 mmol/L e tetraborato de sódio 24 mmol/L. Conservar entre 15 e 25ºC</w:t>
            </w:r>
          </w:p>
        </w:tc>
        <w:tc>
          <w:tcPr>
            <w:tcW w:w="1276" w:type="dxa"/>
            <w:vMerge/>
            <w:tcBorders>
              <w:top w:val="nil"/>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40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25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trHeight w:val="315"/>
        </w:trPr>
        <w:tc>
          <w:tcPr>
            <w:tcW w:w="714" w:type="dxa"/>
            <w:vMerge/>
            <w:tcBorders>
              <w:top w:val="nil"/>
              <w:left w:val="single" w:sz="4" w:space="0" w:color="auto"/>
              <w:bottom w:val="nil"/>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2) Ácido pícrico: 1 frasco com 50 ml de solução aquosa de ácido pícrico 44 mmol/L.</w:t>
            </w:r>
          </w:p>
        </w:tc>
        <w:tc>
          <w:tcPr>
            <w:tcW w:w="1276" w:type="dxa"/>
            <w:vMerge/>
            <w:tcBorders>
              <w:top w:val="nil"/>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40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25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trHeight w:val="315"/>
        </w:trPr>
        <w:tc>
          <w:tcPr>
            <w:tcW w:w="714" w:type="dxa"/>
            <w:vMerge/>
            <w:tcBorders>
              <w:top w:val="nil"/>
              <w:left w:val="single" w:sz="4" w:space="0" w:color="auto"/>
              <w:bottom w:val="nil"/>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 xml:space="preserve">Conservar entre 15 e 25° C. </w:t>
            </w:r>
          </w:p>
        </w:tc>
        <w:tc>
          <w:tcPr>
            <w:tcW w:w="1276" w:type="dxa"/>
            <w:vMerge/>
            <w:tcBorders>
              <w:top w:val="nil"/>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40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25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trHeight w:val="315"/>
        </w:trPr>
        <w:tc>
          <w:tcPr>
            <w:tcW w:w="714" w:type="dxa"/>
            <w:vMerge/>
            <w:tcBorders>
              <w:top w:val="nil"/>
              <w:left w:val="single" w:sz="4" w:space="0" w:color="auto"/>
              <w:bottom w:val="nil"/>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 xml:space="preserve">3) Acidificante: 1 frasco com 10 ml solução de ácido acético 11 mmol/L. Conservar </w:t>
            </w:r>
          </w:p>
        </w:tc>
        <w:tc>
          <w:tcPr>
            <w:tcW w:w="1276" w:type="dxa"/>
            <w:vMerge/>
            <w:tcBorders>
              <w:top w:val="nil"/>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40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25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trHeight w:val="315"/>
        </w:trPr>
        <w:tc>
          <w:tcPr>
            <w:tcW w:w="714" w:type="dxa"/>
            <w:vMerge/>
            <w:tcBorders>
              <w:top w:val="nil"/>
              <w:left w:val="single" w:sz="4" w:space="0" w:color="auto"/>
              <w:bottom w:val="nil"/>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entre 15 e 25°C.</w:t>
            </w:r>
          </w:p>
        </w:tc>
        <w:tc>
          <w:tcPr>
            <w:tcW w:w="1276" w:type="dxa"/>
            <w:vMerge/>
            <w:tcBorders>
              <w:top w:val="nil"/>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40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25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trHeight w:val="315"/>
        </w:trPr>
        <w:tc>
          <w:tcPr>
            <w:tcW w:w="714" w:type="dxa"/>
            <w:vMerge/>
            <w:tcBorders>
              <w:top w:val="nil"/>
              <w:left w:val="single" w:sz="4" w:space="0" w:color="auto"/>
              <w:bottom w:val="nil"/>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4) Padrão: 1 frasco com 10 ml solução aquosa de creatinina 3,0 mg/dl. Conservar</w:t>
            </w:r>
          </w:p>
        </w:tc>
        <w:tc>
          <w:tcPr>
            <w:tcW w:w="1276" w:type="dxa"/>
            <w:vMerge/>
            <w:tcBorders>
              <w:top w:val="nil"/>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40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25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trHeight w:val="315"/>
        </w:trPr>
        <w:tc>
          <w:tcPr>
            <w:tcW w:w="714" w:type="dxa"/>
            <w:vMerge/>
            <w:tcBorders>
              <w:top w:val="nil"/>
              <w:left w:val="single" w:sz="4" w:space="0" w:color="auto"/>
              <w:bottom w:val="nil"/>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entre 15 e 25°C.</w:t>
            </w:r>
          </w:p>
        </w:tc>
        <w:tc>
          <w:tcPr>
            <w:tcW w:w="1276" w:type="dxa"/>
            <w:vMerge/>
            <w:tcBorders>
              <w:top w:val="nil"/>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40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25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trHeight w:val="300"/>
        </w:trPr>
        <w:tc>
          <w:tcPr>
            <w:tcW w:w="71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60AED" w:rsidRPr="00C60AED" w:rsidRDefault="00C60AED"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nil"/>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 xml:space="preserve">Kit de HDL precipitante que contenha padrão. Atentar em ser a mesma marca que o coles- </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Caixa</w:t>
            </w:r>
          </w:p>
        </w:tc>
        <w:tc>
          <w:tcPr>
            <w:tcW w:w="16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36</w:t>
            </w:r>
          </w:p>
        </w:tc>
        <w:tc>
          <w:tcPr>
            <w:tcW w:w="1406"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 </w:t>
            </w:r>
          </w:p>
        </w:tc>
        <w:tc>
          <w:tcPr>
            <w:tcW w:w="1256"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 </w:t>
            </w:r>
          </w:p>
        </w:tc>
      </w:tr>
      <w:tr w:rsidR="00C60AED" w:rsidRPr="00997A59" w:rsidTr="00F95766">
        <w:trPr>
          <w:trHeight w:val="300"/>
        </w:trPr>
        <w:tc>
          <w:tcPr>
            <w:tcW w:w="714" w:type="dxa"/>
            <w:vMerge/>
            <w:tcBorders>
              <w:top w:val="single" w:sz="4" w:space="0" w:color="auto"/>
              <w:left w:val="single" w:sz="4" w:space="0" w:color="auto"/>
              <w:bottom w:val="single" w:sz="4" w:space="0" w:color="000000"/>
              <w:right w:val="single" w:sz="4" w:space="0" w:color="auto"/>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nil"/>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terol total.</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single" w:sz="4" w:space="0" w:color="auto"/>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40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25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trHeight w:val="300"/>
        </w:trPr>
        <w:tc>
          <w:tcPr>
            <w:tcW w:w="714" w:type="dxa"/>
            <w:vMerge w:val="restart"/>
            <w:tcBorders>
              <w:top w:val="nil"/>
              <w:left w:val="single" w:sz="4" w:space="0" w:color="auto"/>
              <w:bottom w:val="single" w:sz="4" w:space="0" w:color="000000"/>
              <w:right w:val="nil"/>
            </w:tcBorders>
            <w:shd w:val="clear" w:color="auto" w:fill="auto"/>
            <w:noWrap/>
            <w:vAlign w:val="center"/>
            <w:hideMark/>
          </w:tcPr>
          <w:p w:rsidR="00C60AED" w:rsidRPr="00C60AED" w:rsidRDefault="00C60AED"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Kit de Chagas HAI contendo: Suspensão de Hemácias : 2,4 mL, Diluente : 40 mL,</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Caixa</w:t>
            </w:r>
          </w:p>
        </w:tc>
        <w:tc>
          <w:tcPr>
            <w:tcW w:w="16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10</w:t>
            </w:r>
          </w:p>
        </w:tc>
        <w:tc>
          <w:tcPr>
            <w:tcW w:w="1406"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 </w:t>
            </w:r>
          </w:p>
        </w:tc>
        <w:tc>
          <w:tcPr>
            <w:tcW w:w="1256"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 </w:t>
            </w:r>
          </w:p>
        </w:tc>
      </w:tr>
      <w:tr w:rsidR="00C60AED" w:rsidRPr="00997A59" w:rsidTr="00F95766">
        <w:trPr>
          <w:trHeight w:val="300"/>
        </w:trPr>
        <w:tc>
          <w:tcPr>
            <w:tcW w:w="714" w:type="dxa"/>
            <w:vMerge/>
            <w:tcBorders>
              <w:top w:val="nil"/>
              <w:left w:val="single" w:sz="4" w:space="0" w:color="auto"/>
              <w:bottom w:val="single" w:sz="4" w:space="0" w:color="000000"/>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single" w:sz="4" w:space="0" w:color="000000"/>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 xml:space="preserve">2-Mercaptoetanol : 0,5 mL, Controle Positivo : 1 mL, Controle Negativo : 1 mL, Placa de </w:t>
            </w:r>
          </w:p>
        </w:tc>
        <w:tc>
          <w:tcPr>
            <w:tcW w:w="1276"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40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25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trHeight w:val="300"/>
        </w:trPr>
        <w:tc>
          <w:tcPr>
            <w:tcW w:w="714" w:type="dxa"/>
            <w:vMerge/>
            <w:tcBorders>
              <w:top w:val="nil"/>
              <w:left w:val="single" w:sz="4" w:space="0" w:color="auto"/>
              <w:bottom w:val="single" w:sz="4" w:space="0" w:color="000000"/>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 xml:space="preserve">microtitulação : 1, Método: Hemaglutinação Indireta (HAI).Finalidade: Determinação </w:t>
            </w:r>
          </w:p>
        </w:tc>
        <w:tc>
          <w:tcPr>
            <w:tcW w:w="1276"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40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25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trHeight w:val="300"/>
        </w:trPr>
        <w:tc>
          <w:tcPr>
            <w:tcW w:w="714" w:type="dxa"/>
            <w:vMerge/>
            <w:tcBorders>
              <w:top w:val="nil"/>
              <w:left w:val="single" w:sz="4" w:space="0" w:color="auto"/>
              <w:bottom w:val="single" w:sz="4" w:space="0" w:color="000000"/>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 xml:space="preserve">qualitativa e semi-quantitativa de anticorpos anti-Trypanosoma cruzi. Amostra: Soro. </w:t>
            </w:r>
          </w:p>
        </w:tc>
        <w:tc>
          <w:tcPr>
            <w:tcW w:w="1276"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40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25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trHeight w:val="300"/>
        </w:trPr>
        <w:tc>
          <w:tcPr>
            <w:tcW w:w="714" w:type="dxa"/>
            <w:vMerge/>
            <w:tcBorders>
              <w:top w:val="nil"/>
              <w:left w:val="single" w:sz="4" w:space="0" w:color="auto"/>
              <w:bottom w:val="single" w:sz="4" w:space="0" w:color="000000"/>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single" w:sz="4" w:space="0" w:color="auto"/>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Estabilidade do Reagente: Até a data de validade do kit. Com 96 testes.</w:t>
            </w:r>
          </w:p>
        </w:tc>
        <w:tc>
          <w:tcPr>
            <w:tcW w:w="1276"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40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25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trHeight w:val="300"/>
        </w:trPr>
        <w:tc>
          <w:tcPr>
            <w:tcW w:w="714" w:type="dxa"/>
            <w:vMerge w:val="restart"/>
            <w:tcBorders>
              <w:top w:val="nil"/>
              <w:left w:val="single" w:sz="4" w:space="0" w:color="auto"/>
              <w:bottom w:val="nil"/>
              <w:right w:val="nil"/>
            </w:tcBorders>
            <w:shd w:val="clear" w:color="auto" w:fill="auto"/>
            <w:noWrap/>
            <w:vAlign w:val="center"/>
            <w:hideMark/>
          </w:tcPr>
          <w:p w:rsidR="00C60AED" w:rsidRPr="00C60AED" w:rsidRDefault="00C60AED"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Kit de Toxo HAI contendo: Suspensão de Hemácias : 2,4 mL, Diluente : 40 mL,</w:t>
            </w:r>
          </w:p>
        </w:tc>
        <w:tc>
          <w:tcPr>
            <w:tcW w:w="1276" w:type="dxa"/>
            <w:vMerge w:val="restart"/>
            <w:tcBorders>
              <w:top w:val="nil"/>
              <w:left w:val="single" w:sz="4" w:space="0" w:color="auto"/>
              <w:bottom w:val="nil"/>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Caixa</w:t>
            </w:r>
          </w:p>
        </w:tc>
        <w:tc>
          <w:tcPr>
            <w:tcW w:w="1657" w:type="dxa"/>
            <w:vMerge w:val="restart"/>
            <w:tcBorders>
              <w:top w:val="nil"/>
              <w:left w:val="single" w:sz="4" w:space="0" w:color="auto"/>
              <w:bottom w:val="nil"/>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50</w:t>
            </w:r>
          </w:p>
        </w:tc>
        <w:tc>
          <w:tcPr>
            <w:tcW w:w="1406"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 </w:t>
            </w:r>
          </w:p>
        </w:tc>
        <w:tc>
          <w:tcPr>
            <w:tcW w:w="1256"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 </w:t>
            </w:r>
          </w:p>
        </w:tc>
      </w:tr>
      <w:tr w:rsidR="00C60AED" w:rsidRPr="00997A59" w:rsidTr="00F95766">
        <w:trPr>
          <w:trHeight w:val="300"/>
        </w:trPr>
        <w:tc>
          <w:tcPr>
            <w:tcW w:w="714" w:type="dxa"/>
            <w:vMerge/>
            <w:tcBorders>
              <w:top w:val="nil"/>
              <w:left w:val="single" w:sz="4" w:space="0" w:color="auto"/>
              <w:bottom w:val="nil"/>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single" w:sz="4" w:space="0" w:color="000000"/>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 xml:space="preserve">2-Mercaptoetanol : 0,5 mL, Controle Positivo : 1 mL, Controle Negativo : 1 mL, Placa de </w:t>
            </w:r>
          </w:p>
        </w:tc>
        <w:tc>
          <w:tcPr>
            <w:tcW w:w="1276" w:type="dxa"/>
            <w:vMerge/>
            <w:tcBorders>
              <w:top w:val="nil"/>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40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25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trHeight w:val="300"/>
        </w:trPr>
        <w:tc>
          <w:tcPr>
            <w:tcW w:w="714" w:type="dxa"/>
            <w:vMerge/>
            <w:tcBorders>
              <w:top w:val="nil"/>
              <w:left w:val="single" w:sz="4" w:space="0" w:color="auto"/>
              <w:bottom w:val="nil"/>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 xml:space="preserve">microtitulação : 1, Método: Hemaglutinação Indireta (HAI).Finalidade: Determinação </w:t>
            </w:r>
          </w:p>
        </w:tc>
        <w:tc>
          <w:tcPr>
            <w:tcW w:w="1276" w:type="dxa"/>
            <w:vMerge/>
            <w:tcBorders>
              <w:top w:val="nil"/>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40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25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trHeight w:val="300"/>
        </w:trPr>
        <w:tc>
          <w:tcPr>
            <w:tcW w:w="714" w:type="dxa"/>
            <w:vMerge/>
            <w:tcBorders>
              <w:top w:val="nil"/>
              <w:left w:val="single" w:sz="4" w:space="0" w:color="auto"/>
              <w:bottom w:val="nil"/>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qualitativa e semi-quantitativa de anticorpos anti-Toxoplasma gondii no soro.</w:t>
            </w:r>
          </w:p>
        </w:tc>
        <w:tc>
          <w:tcPr>
            <w:tcW w:w="1276" w:type="dxa"/>
            <w:vMerge/>
            <w:tcBorders>
              <w:top w:val="nil"/>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40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25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trHeight w:val="300"/>
        </w:trPr>
        <w:tc>
          <w:tcPr>
            <w:tcW w:w="714" w:type="dxa"/>
            <w:vMerge/>
            <w:tcBorders>
              <w:top w:val="nil"/>
              <w:left w:val="single" w:sz="4" w:space="0" w:color="auto"/>
              <w:bottom w:val="nil"/>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Estabilidade do Reagente: Até a data de validade do kit. Com 96 testes.</w:t>
            </w:r>
          </w:p>
        </w:tc>
        <w:tc>
          <w:tcPr>
            <w:tcW w:w="1276" w:type="dxa"/>
            <w:vMerge/>
            <w:tcBorders>
              <w:top w:val="nil"/>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40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25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trHeight w:val="300"/>
        </w:trPr>
        <w:tc>
          <w:tcPr>
            <w:tcW w:w="714" w:type="dxa"/>
            <w:vMerge w:val="restart"/>
            <w:tcBorders>
              <w:top w:val="single" w:sz="4" w:space="0" w:color="auto"/>
              <w:left w:val="single" w:sz="4" w:space="0" w:color="auto"/>
              <w:bottom w:val="nil"/>
              <w:right w:val="nil"/>
            </w:tcBorders>
            <w:shd w:val="clear" w:color="auto" w:fill="auto"/>
            <w:noWrap/>
            <w:vAlign w:val="center"/>
            <w:hideMark/>
          </w:tcPr>
          <w:p w:rsidR="00C60AED" w:rsidRPr="00C60AED" w:rsidRDefault="00C60AED"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 xml:space="preserve">Kit para PSA - O PSA Test, é realizado em um única etapa para a detecção do antígeno  </w:t>
            </w:r>
          </w:p>
        </w:tc>
        <w:tc>
          <w:tcPr>
            <w:tcW w:w="1276"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Caixa</w:t>
            </w:r>
          </w:p>
        </w:tc>
        <w:tc>
          <w:tcPr>
            <w:tcW w:w="1657"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100</w:t>
            </w:r>
          </w:p>
        </w:tc>
        <w:tc>
          <w:tcPr>
            <w:tcW w:w="1406"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 </w:t>
            </w:r>
          </w:p>
        </w:tc>
        <w:tc>
          <w:tcPr>
            <w:tcW w:w="1256"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 </w:t>
            </w:r>
          </w:p>
        </w:tc>
      </w:tr>
      <w:tr w:rsidR="00C60AED" w:rsidRPr="00997A59" w:rsidTr="00F95766">
        <w:trPr>
          <w:trHeight w:val="300"/>
        </w:trPr>
        <w:tc>
          <w:tcPr>
            <w:tcW w:w="714" w:type="dxa"/>
            <w:vMerge/>
            <w:tcBorders>
              <w:top w:val="single" w:sz="4" w:space="0" w:color="auto"/>
              <w:left w:val="single" w:sz="4" w:space="0" w:color="auto"/>
              <w:bottom w:val="nil"/>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single" w:sz="4" w:space="0" w:color="000000"/>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 xml:space="preserve">prostático específico (PSA) em </w:t>
            </w:r>
            <w:r w:rsidRPr="00C60AED">
              <w:rPr>
                <w:rFonts w:ascii="Century Gothic" w:hAnsi="Century Gothic" w:cs="Arial"/>
                <w:sz w:val="24"/>
                <w:szCs w:val="24"/>
              </w:rPr>
              <w:lastRenderedPageBreak/>
              <w:t xml:space="preserve">amostras de soro ou plasma. Fácil de usar, simples, </w:t>
            </w:r>
          </w:p>
        </w:tc>
        <w:tc>
          <w:tcPr>
            <w:tcW w:w="1276" w:type="dxa"/>
            <w:vMerge/>
            <w:tcBorders>
              <w:top w:val="single" w:sz="4" w:space="0" w:color="auto"/>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single" w:sz="4" w:space="0" w:color="auto"/>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40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25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trHeight w:val="300"/>
        </w:trPr>
        <w:tc>
          <w:tcPr>
            <w:tcW w:w="714" w:type="dxa"/>
            <w:vMerge/>
            <w:tcBorders>
              <w:top w:val="single" w:sz="4" w:space="0" w:color="auto"/>
              <w:left w:val="single" w:sz="4" w:space="0" w:color="auto"/>
              <w:bottom w:val="nil"/>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vAlign w:val="center"/>
            <w:hideMark/>
          </w:tcPr>
          <w:p w:rsidR="00C60AED" w:rsidRPr="00C60AED" w:rsidRDefault="00C60AED" w:rsidP="00C60AED">
            <w:pPr>
              <w:spacing w:after="240"/>
              <w:jc w:val="both"/>
              <w:rPr>
                <w:rFonts w:ascii="Century Gothic" w:hAnsi="Century Gothic" w:cs="Arial"/>
                <w:sz w:val="24"/>
                <w:szCs w:val="24"/>
              </w:rPr>
            </w:pPr>
            <w:r w:rsidRPr="00C60AED">
              <w:rPr>
                <w:rFonts w:ascii="Century Gothic" w:hAnsi="Century Gothic" w:cs="Arial"/>
                <w:sz w:val="24"/>
                <w:szCs w:val="24"/>
              </w:rPr>
              <w:t xml:space="preserve">apenas 1 etapa; Não necessita instrumentação, leitura visual dos resultados, fácil </w:t>
            </w:r>
          </w:p>
        </w:tc>
        <w:tc>
          <w:tcPr>
            <w:tcW w:w="1276" w:type="dxa"/>
            <w:vMerge/>
            <w:tcBorders>
              <w:top w:val="single" w:sz="4" w:space="0" w:color="auto"/>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single" w:sz="4" w:space="0" w:color="auto"/>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40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25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trHeight w:val="300"/>
        </w:trPr>
        <w:tc>
          <w:tcPr>
            <w:tcW w:w="714" w:type="dxa"/>
            <w:vMerge/>
            <w:tcBorders>
              <w:top w:val="single" w:sz="4" w:space="0" w:color="auto"/>
              <w:left w:val="single" w:sz="4" w:space="0" w:color="auto"/>
              <w:bottom w:val="nil"/>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interpretação. Resultado em 5 minutos; Kit completo para execução do teste;</w:t>
            </w:r>
          </w:p>
        </w:tc>
        <w:tc>
          <w:tcPr>
            <w:tcW w:w="1276" w:type="dxa"/>
            <w:vMerge/>
            <w:tcBorders>
              <w:top w:val="single" w:sz="4" w:space="0" w:color="auto"/>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single" w:sz="4" w:space="0" w:color="auto"/>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40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25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trHeight w:val="300"/>
        </w:trPr>
        <w:tc>
          <w:tcPr>
            <w:tcW w:w="714" w:type="dxa"/>
            <w:vMerge/>
            <w:tcBorders>
              <w:top w:val="single" w:sz="4" w:space="0" w:color="auto"/>
              <w:left w:val="single" w:sz="4" w:space="0" w:color="auto"/>
              <w:bottom w:val="nil"/>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Armazenamento: temperatura ambiente. Sensib. /Especif 99%. Com 25 tiras.</w:t>
            </w:r>
          </w:p>
        </w:tc>
        <w:tc>
          <w:tcPr>
            <w:tcW w:w="1276" w:type="dxa"/>
            <w:vMerge/>
            <w:tcBorders>
              <w:top w:val="single" w:sz="4" w:space="0" w:color="auto"/>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single" w:sz="4" w:space="0" w:color="auto"/>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40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25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trHeight w:val="300"/>
        </w:trPr>
        <w:tc>
          <w:tcPr>
            <w:tcW w:w="714" w:type="dxa"/>
            <w:vMerge w:val="restart"/>
            <w:tcBorders>
              <w:top w:val="single" w:sz="4" w:space="0" w:color="auto"/>
              <w:left w:val="single" w:sz="4" w:space="0" w:color="auto"/>
              <w:bottom w:val="nil"/>
              <w:right w:val="nil"/>
            </w:tcBorders>
            <w:shd w:val="clear" w:color="auto" w:fill="auto"/>
            <w:noWrap/>
            <w:vAlign w:val="center"/>
            <w:hideMark/>
          </w:tcPr>
          <w:p w:rsidR="00C60AED" w:rsidRPr="00C60AED" w:rsidRDefault="00C60AED"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 xml:space="preserve">Kit de Cálcio para 100 determinações de cálcio, contendo: 1)-Tampão: 1 frasco de 100ml </w:t>
            </w:r>
          </w:p>
        </w:tc>
        <w:tc>
          <w:tcPr>
            <w:tcW w:w="1276"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Caixa</w:t>
            </w:r>
          </w:p>
        </w:tc>
        <w:tc>
          <w:tcPr>
            <w:tcW w:w="1657"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5</w:t>
            </w:r>
          </w:p>
        </w:tc>
        <w:tc>
          <w:tcPr>
            <w:tcW w:w="1406"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 </w:t>
            </w:r>
          </w:p>
        </w:tc>
        <w:tc>
          <w:tcPr>
            <w:tcW w:w="1256"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 </w:t>
            </w:r>
          </w:p>
        </w:tc>
      </w:tr>
      <w:tr w:rsidR="00C60AED" w:rsidRPr="00997A59" w:rsidTr="00F95766">
        <w:trPr>
          <w:trHeight w:val="300"/>
        </w:trPr>
        <w:tc>
          <w:tcPr>
            <w:tcW w:w="714" w:type="dxa"/>
            <w:vMerge/>
            <w:tcBorders>
              <w:top w:val="single" w:sz="4" w:space="0" w:color="auto"/>
              <w:left w:val="single" w:sz="4" w:space="0" w:color="auto"/>
              <w:bottom w:val="nil"/>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de solução tamponada em pH 9,8, contendo cianeto de potássio7,7mmol/L. Conservar</w:t>
            </w:r>
          </w:p>
        </w:tc>
        <w:tc>
          <w:tcPr>
            <w:tcW w:w="1276" w:type="dxa"/>
            <w:vMerge/>
            <w:tcBorders>
              <w:top w:val="single" w:sz="4" w:space="0" w:color="auto"/>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single" w:sz="4" w:space="0" w:color="auto"/>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40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25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trHeight w:val="300"/>
        </w:trPr>
        <w:tc>
          <w:tcPr>
            <w:tcW w:w="714" w:type="dxa"/>
            <w:vMerge/>
            <w:tcBorders>
              <w:top w:val="single" w:sz="4" w:space="0" w:color="auto"/>
              <w:left w:val="single" w:sz="4" w:space="0" w:color="auto"/>
              <w:bottom w:val="nil"/>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entre 15 e 25°C. 2)- Reagente de cor: 1 frasco de 100ml de solução, contendo cresolfta-</w:t>
            </w:r>
          </w:p>
        </w:tc>
        <w:tc>
          <w:tcPr>
            <w:tcW w:w="1276" w:type="dxa"/>
            <w:vMerge/>
            <w:tcBorders>
              <w:top w:val="single" w:sz="4" w:space="0" w:color="auto"/>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single" w:sz="4" w:space="0" w:color="auto"/>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40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25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trHeight w:val="300"/>
        </w:trPr>
        <w:tc>
          <w:tcPr>
            <w:tcW w:w="714" w:type="dxa"/>
            <w:vMerge/>
            <w:tcBorders>
              <w:top w:val="single" w:sz="4" w:space="0" w:color="auto"/>
              <w:left w:val="single" w:sz="4" w:space="0" w:color="auto"/>
              <w:bottom w:val="nil"/>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leina complexona 0.1mmol/L e 8-hidroxiquinoleina 35mmol/L. Conservar entre 15 e 25ºC.</w:t>
            </w:r>
          </w:p>
        </w:tc>
        <w:tc>
          <w:tcPr>
            <w:tcW w:w="1276" w:type="dxa"/>
            <w:vMerge/>
            <w:tcBorders>
              <w:top w:val="single" w:sz="4" w:space="0" w:color="auto"/>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single" w:sz="4" w:space="0" w:color="auto"/>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40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25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trHeight w:val="300"/>
        </w:trPr>
        <w:tc>
          <w:tcPr>
            <w:tcW w:w="714" w:type="dxa"/>
            <w:vMerge/>
            <w:tcBorders>
              <w:top w:val="single" w:sz="4" w:space="0" w:color="auto"/>
              <w:left w:val="single" w:sz="4" w:space="0" w:color="auto"/>
              <w:bottom w:val="nil"/>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3)-Padrão: 1 frasco de 3ml de solução aquosa de íons de cálcio10mg/dl, corresponden-</w:t>
            </w:r>
          </w:p>
        </w:tc>
        <w:tc>
          <w:tcPr>
            <w:tcW w:w="1276" w:type="dxa"/>
            <w:vMerge/>
            <w:tcBorders>
              <w:top w:val="single" w:sz="4" w:space="0" w:color="auto"/>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single" w:sz="4" w:space="0" w:color="auto"/>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40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25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trHeight w:val="300"/>
        </w:trPr>
        <w:tc>
          <w:tcPr>
            <w:tcW w:w="714" w:type="dxa"/>
            <w:vMerge/>
            <w:tcBorders>
              <w:top w:val="single" w:sz="4" w:space="0" w:color="auto"/>
              <w:left w:val="single" w:sz="4" w:space="0" w:color="auto"/>
              <w:bottom w:val="nil"/>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do a 2,5 mmol/L. Conservar entre 15 e 15ºC.</w:t>
            </w:r>
          </w:p>
        </w:tc>
        <w:tc>
          <w:tcPr>
            <w:tcW w:w="1276" w:type="dxa"/>
            <w:vMerge/>
            <w:tcBorders>
              <w:top w:val="single" w:sz="4" w:space="0" w:color="auto"/>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single" w:sz="4" w:space="0" w:color="auto"/>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40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25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trHeight w:val="300"/>
        </w:trPr>
        <w:tc>
          <w:tcPr>
            <w:tcW w:w="714"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C60AED" w:rsidRPr="00C60AED" w:rsidRDefault="00C60AED"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 xml:space="preserve">Kit de Fósforo para 200 determinações, contendo: 1)-Reagente Molibdato: 2 frascos de </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Caixa</w:t>
            </w:r>
          </w:p>
        </w:tc>
        <w:tc>
          <w:tcPr>
            <w:tcW w:w="16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5</w:t>
            </w:r>
          </w:p>
        </w:tc>
        <w:tc>
          <w:tcPr>
            <w:tcW w:w="1406"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 </w:t>
            </w:r>
          </w:p>
        </w:tc>
        <w:tc>
          <w:tcPr>
            <w:tcW w:w="1256"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 </w:t>
            </w:r>
          </w:p>
        </w:tc>
      </w:tr>
      <w:tr w:rsidR="00C60AED" w:rsidRPr="00997A59" w:rsidTr="00F95766">
        <w:trPr>
          <w:trHeight w:val="300"/>
        </w:trPr>
        <w:tc>
          <w:tcPr>
            <w:tcW w:w="714" w:type="dxa"/>
            <w:vMerge/>
            <w:tcBorders>
              <w:top w:val="single" w:sz="4" w:space="0" w:color="auto"/>
              <w:left w:val="single" w:sz="4" w:space="0" w:color="auto"/>
              <w:bottom w:val="single" w:sz="4" w:space="0" w:color="000000"/>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100 ml cada, de solução aquosa contendo molibdato de amônio 1mmol/L e ácido sulfú-</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single" w:sz="4" w:space="0" w:color="auto"/>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40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25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trHeight w:val="300"/>
        </w:trPr>
        <w:tc>
          <w:tcPr>
            <w:tcW w:w="714" w:type="dxa"/>
            <w:vMerge/>
            <w:tcBorders>
              <w:top w:val="single" w:sz="4" w:space="0" w:color="auto"/>
              <w:left w:val="single" w:sz="4" w:space="0" w:color="auto"/>
              <w:bottom w:val="single" w:sz="4" w:space="0" w:color="000000"/>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rico 400 mmol/L. 2)- Padrão: 1 frasco com 5,0 ml de solução aquosa  fósforo inorgânico</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single" w:sz="4" w:space="0" w:color="auto"/>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40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25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trHeight w:val="300"/>
        </w:trPr>
        <w:tc>
          <w:tcPr>
            <w:tcW w:w="714" w:type="dxa"/>
            <w:vMerge/>
            <w:tcBorders>
              <w:top w:val="single" w:sz="4" w:space="0" w:color="auto"/>
              <w:left w:val="single" w:sz="4" w:space="0" w:color="auto"/>
              <w:bottom w:val="single" w:sz="4" w:space="0" w:color="000000"/>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single" w:sz="4" w:space="0" w:color="auto"/>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5,0 mg/dl e azida sódica0,1g/dl.</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single" w:sz="4" w:space="0" w:color="auto"/>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40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25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trHeight w:val="300"/>
        </w:trPr>
        <w:tc>
          <w:tcPr>
            <w:tcW w:w="714" w:type="dxa"/>
            <w:vMerge w:val="restart"/>
            <w:tcBorders>
              <w:top w:val="nil"/>
              <w:left w:val="single" w:sz="4" w:space="0" w:color="auto"/>
              <w:bottom w:val="nil"/>
              <w:right w:val="nil"/>
            </w:tcBorders>
            <w:shd w:val="clear" w:color="auto" w:fill="auto"/>
            <w:noWrap/>
            <w:vAlign w:val="center"/>
            <w:hideMark/>
          </w:tcPr>
          <w:p w:rsidR="00C60AED" w:rsidRPr="00C60AED" w:rsidRDefault="00C60AED"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 xml:space="preserve">Kit de Magnésio - Conjunto para 100 determinações, contendo: 1)-Reagente de cor: 2 </w:t>
            </w:r>
          </w:p>
        </w:tc>
        <w:tc>
          <w:tcPr>
            <w:tcW w:w="1276" w:type="dxa"/>
            <w:vMerge w:val="restart"/>
            <w:tcBorders>
              <w:top w:val="nil"/>
              <w:left w:val="single" w:sz="4" w:space="0" w:color="auto"/>
              <w:bottom w:val="nil"/>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Caixa</w:t>
            </w:r>
          </w:p>
        </w:tc>
        <w:tc>
          <w:tcPr>
            <w:tcW w:w="1657" w:type="dxa"/>
            <w:vMerge w:val="restart"/>
            <w:tcBorders>
              <w:top w:val="nil"/>
              <w:left w:val="single" w:sz="4" w:space="0" w:color="auto"/>
              <w:bottom w:val="nil"/>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5</w:t>
            </w:r>
          </w:p>
        </w:tc>
        <w:tc>
          <w:tcPr>
            <w:tcW w:w="1406"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 </w:t>
            </w:r>
          </w:p>
        </w:tc>
        <w:tc>
          <w:tcPr>
            <w:tcW w:w="1256"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 </w:t>
            </w:r>
          </w:p>
        </w:tc>
      </w:tr>
      <w:tr w:rsidR="00C60AED" w:rsidRPr="00997A59" w:rsidTr="00F95766">
        <w:trPr>
          <w:trHeight w:val="300"/>
        </w:trPr>
        <w:tc>
          <w:tcPr>
            <w:tcW w:w="714" w:type="dxa"/>
            <w:vMerge/>
            <w:tcBorders>
              <w:top w:val="nil"/>
              <w:left w:val="single" w:sz="4" w:space="0" w:color="auto"/>
              <w:bottom w:val="nil"/>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 xml:space="preserve">frascos de 100ml cada, de solução aquosa tamponada de pH 11,5 contendo carbonato </w:t>
            </w:r>
          </w:p>
        </w:tc>
        <w:tc>
          <w:tcPr>
            <w:tcW w:w="1276" w:type="dxa"/>
            <w:vMerge/>
            <w:tcBorders>
              <w:top w:val="nil"/>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40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25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trHeight w:val="300"/>
        </w:trPr>
        <w:tc>
          <w:tcPr>
            <w:tcW w:w="714" w:type="dxa"/>
            <w:vMerge/>
            <w:tcBorders>
              <w:top w:val="nil"/>
              <w:left w:val="single" w:sz="4" w:space="0" w:color="auto"/>
              <w:bottom w:val="nil"/>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de potássio 110 mmol/L , EGTA 4µmol/L, Magon sulfonado 0,1 mmol/L e azida sódica</w:t>
            </w:r>
          </w:p>
        </w:tc>
        <w:tc>
          <w:tcPr>
            <w:tcW w:w="1276" w:type="dxa"/>
            <w:vMerge/>
            <w:tcBorders>
              <w:top w:val="nil"/>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40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25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trHeight w:val="300"/>
        </w:trPr>
        <w:tc>
          <w:tcPr>
            <w:tcW w:w="714" w:type="dxa"/>
            <w:vMerge/>
            <w:tcBorders>
              <w:top w:val="nil"/>
              <w:left w:val="single" w:sz="4" w:space="0" w:color="auto"/>
              <w:bottom w:val="nil"/>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15,5 mmol/L. Conservar entre 15 e 25ºC. 2)- Padrão: 1 frasco com 3 ml de solução aquo-</w:t>
            </w:r>
          </w:p>
        </w:tc>
        <w:tc>
          <w:tcPr>
            <w:tcW w:w="1276" w:type="dxa"/>
            <w:vMerge/>
            <w:tcBorders>
              <w:top w:val="nil"/>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40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25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trHeight w:val="300"/>
        </w:trPr>
        <w:tc>
          <w:tcPr>
            <w:tcW w:w="714" w:type="dxa"/>
            <w:vMerge/>
            <w:tcBorders>
              <w:top w:val="nil"/>
              <w:left w:val="single" w:sz="4" w:space="0" w:color="auto"/>
              <w:bottom w:val="nil"/>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sa de íons magnésio2 mg/dl, correspondendo a 0,82 mmol/L. Conservar entre 15 e 25ºC.</w:t>
            </w:r>
          </w:p>
        </w:tc>
        <w:tc>
          <w:tcPr>
            <w:tcW w:w="1276" w:type="dxa"/>
            <w:vMerge/>
            <w:tcBorders>
              <w:top w:val="nil"/>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40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25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trHeight w:val="300"/>
        </w:trPr>
        <w:tc>
          <w:tcPr>
            <w:tcW w:w="714" w:type="dxa"/>
            <w:vMerge w:val="restart"/>
            <w:tcBorders>
              <w:top w:val="single" w:sz="4" w:space="0" w:color="auto"/>
              <w:left w:val="single" w:sz="4" w:space="0" w:color="auto"/>
              <w:bottom w:val="nil"/>
              <w:right w:val="nil"/>
            </w:tcBorders>
            <w:shd w:val="clear" w:color="auto" w:fill="auto"/>
            <w:noWrap/>
            <w:vAlign w:val="center"/>
            <w:hideMark/>
          </w:tcPr>
          <w:p w:rsidR="00C60AED" w:rsidRPr="00C60AED" w:rsidRDefault="00C60AED"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Kit de Proteínas Totais para 200 determinações, contendo: 1)- Biureto-Estoque: 1 frasco</w:t>
            </w:r>
          </w:p>
        </w:tc>
        <w:tc>
          <w:tcPr>
            <w:tcW w:w="1276"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Caixa</w:t>
            </w:r>
          </w:p>
        </w:tc>
        <w:tc>
          <w:tcPr>
            <w:tcW w:w="1657"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5</w:t>
            </w:r>
          </w:p>
        </w:tc>
        <w:tc>
          <w:tcPr>
            <w:tcW w:w="1406"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 </w:t>
            </w:r>
          </w:p>
        </w:tc>
        <w:tc>
          <w:tcPr>
            <w:tcW w:w="1256"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 </w:t>
            </w:r>
          </w:p>
        </w:tc>
      </w:tr>
      <w:tr w:rsidR="00C60AED" w:rsidRPr="00997A59" w:rsidTr="00F95766">
        <w:trPr>
          <w:trHeight w:val="300"/>
        </w:trPr>
        <w:tc>
          <w:tcPr>
            <w:tcW w:w="714" w:type="dxa"/>
            <w:vMerge/>
            <w:tcBorders>
              <w:top w:val="single" w:sz="4" w:space="0" w:color="auto"/>
              <w:left w:val="single" w:sz="4" w:space="0" w:color="auto"/>
              <w:bottom w:val="nil"/>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 xml:space="preserve">com 50ml de solução contendo hidroxido de sódio 1860mmol/L, tartarato duplo de sódio </w:t>
            </w:r>
          </w:p>
        </w:tc>
        <w:tc>
          <w:tcPr>
            <w:tcW w:w="1276" w:type="dxa"/>
            <w:vMerge/>
            <w:tcBorders>
              <w:top w:val="single" w:sz="4" w:space="0" w:color="auto"/>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single" w:sz="4" w:space="0" w:color="auto"/>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40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25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trHeight w:val="300"/>
        </w:trPr>
        <w:tc>
          <w:tcPr>
            <w:tcW w:w="714" w:type="dxa"/>
            <w:vMerge/>
            <w:tcBorders>
              <w:top w:val="single" w:sz="4" w:space="0" w:color="auto"/>
              <w:left w:val="single" w:sz="4" w:space="0" w:color="auto"/>
              <w:bottom w:val="nil"/>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e potássio 320 mmol/L, sulfato de cobre 180 mmol/L e iodeto de potássio 300 mmol/L.</w:t>
            </w:r>
          </w:p>
        </w:tc>
        <w:tc>
          <w:tcPr>
            <w:tcW w:w="1276" w:type="dxa"/>
            <w:vMerge/>
            <w:tcBorders>
              <w:top w:val="single" w:sz="4" w:space="0" w:color="auto"/>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single" w:sz="4" w:space="0" w:color="auto"/>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40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25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trHeight w:val="300"/>
        </w:trPr>
        <w:tc>
          <w:tcPr>
            <w:tcW w:w="714" w:type="dxa"/>
            <w:vMerge/>
            <w:tcBorders>
              <w:top w:val="single" w:sz="4" w:space="0" w:color="auto"/>
              <w:left w:val="single" w:sz="4" w:space="0" w:color="auto"/>
              <w:bottom w:val="nil"/>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Conservar entre 15 e 25 ºC. 2)- Padrão: 1 frasco com 2,0 ml de solução aquosa de albumi-</w:t>
            </w:r>
          </w:p>
        </w:tc>
        <w:tc>
          <w:tcPr>
            <w:tcW w:w="1276" w:type="dxa"/>
            <w:vMerge/>
            <w:tcBorders>
              <w:top w:val="single" w:sz="4" w:space="0" w:color="auto"/>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single" w:sz="4" w:space="0" w:color="auto"/>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40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25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trHeight w:val="300"/>
        </w:trPr>
        <w:tc>
          <w:tcPr>
            <w:tcW w:w="714" w:type="dxa"/>
            <w:vMerge/>
            <w:tcBorders>
              <w:top w:val="single" w:sz="4" w:space="0" w:color="auto"/>
              <w:left w:val="single" w:sz="4" w:space="0" w:color="auto"/>
              <w:bottom w:val="nil"/>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na bovina 4,0 g/dL, contendo azida sódica 8,5 mmol/L. Conservar entre 15 e 25ºC.</w:t>
            </w:r>
          </w:p>
        </w:tc>
        <w:tc>
          <w:tcPr>
            <w:tcW w:w="1276" w:type="dxa"/>
            <w:vMerge/>
            <w:tcBorders>
              <w:top w:val="single" w:sz="4" w:space="0" w:color="auto"/>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single" w:sz="4" w:space="0" w:color="auto"/>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40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25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trHeight w:val="300"/>
        </w:trPr>
        <w:tc>
          <w:tcPr>
            <w:tcW w:w="714" w:type="dxa"/>
            <w:vMerge w:val="restart"/>
            <w:tcBorders>
              <w:top w:val="single" w:sz="4" w:space="0" w:color="auto"/>
              <w:left w:val="single" w:sz="4" w:space="0" w:color="auto"/>
              <w:bottom w:val="nil"/>
              <w:right w:val="nil"/>
            </w:tcBorders>
            <w:shd w:val="clear" w:color="auto" w:fill="auto"/>
            <w:noWrap/>
            <w:vAlign w:val="center"/>
            <w:hideMark/>
          </w:tcPr>
          <w:p w:rsidR="00C60AED" w:rsidRPr="00C60AED" w:rsidRDefault="00C60AED"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 xml:space="preserve">Kit de Desidrogenase Láctica - Conjunto para 100 determinações (LDH), contendo: 1)- </w:t>
            </w:r>
          </w:p>
        </w:tc>
        <w:tc>
          <w:tcPr>
            <w:tcW w:w="1276"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Caixa</w:t>
            </w:r>
          </w:p>
        </w:tc>
        <w:tc>
          <w:tcPr>
            <w:tcW w:w="1657"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5</w:t>
            </w:r>
          </w:p>
        </w:tc>
        <w:tc>
          <w:tcPr>
            <w:tcW w:w="1406"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 </w:t>
            </w:r>
          </w:p>
        </w:tc>
        <w:tc>
          <w:tcPr>
            <w:tcW w:w="1256"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 </w:t>
            </w:r>
          </w:p>
        </w:tc>
      </w:tr>
      <w:tr w:rsidR="00C60AED" w:rsidRPr="00997A59" w:rsidTr="00F95766">
        <w:trPr>
          <w:trHeight w:val="300"/>
        </w:trPr>
        <w:tc>
          <w:tcPr>
            <w:tcW w:w="714" w:type="dxa"/>
            <w:vMerge/>
            <w:tcBorders>
              <w:top w:val="single" w:sz="4" w:space="0" w:color="auto"/>
              <w:left w:val="single" w:sz="4" w:space="0" w:color="auto"/>
              <w:bottom w:val="nil"/>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Tampão: 2 frascos com 50 ml cada, de solução tamponada em pH 7,5, contendo piruvato</w:t>
            </w:r>
          </w:p>
        </w:tc>
        <w:tc>
          <w:tcPr>
            <w:tcW w:w="1276" w:type="dxa"/>
            <w:vMerge/>
            <w:tcBorders>
              <w:top w:val="single" w:sz="4" w:space="0" w:color="auto"/>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single" w:sz="4" w:space="0" w:color="auto"/>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40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25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trHeight w:val="300"/>
        </w:trPr>
        <w:tc>
          <w:tcPr>
            <w:tcW w:w="714" w:type="dxa"/>
            <w:vMerge/>
            <w:tcBorders>
              <w:top w:val="single" w:sz="4" w:space="0" w:color="auto"/>
              <w:left w:val="single" w:sz="4" w:space="0" w:color="auto"/>
              <w:bottom w:val="nil"/>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de sódio 0,6 mmol/L e azida sódica 15,5 mmol/L. 2)- Coenzima: 1 frasco contendo NADH</w:t>
            </w:r>
          </w:p>
        </w:tc>
        <w:tc>
          <w:tcPr>
            <w:tcW w:w="1276" w:type="dxa"/>
            <w:vMerge/>
            <w:tcBorders>
              <w:top w:val="single" w:sz="4" w:space="0" w:color="auto"/>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single" w:sz="4" w:space="0" w:color="auto"/>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40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25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trHeight w:val="300"/>
        </w:trPr>
        <w:tc>
          <w:tcPr>
            <w:tcW w:w="714" w:type="dxa"/>
            <w:vMerge/>
            <w:tcBorders>
              <w:top w:val="single" w:sz="4" w:space="0" w:color="auto"/>
              <w:left w:val="single" w:sz="4" w:space="0" w:color="auto"/>
              <w:bottom w:val="nil"/>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2 em forma liofilizada na concentração de 25mmol/L após reconstituição.</w:t>
            </w:r>
          </w:p>
        </w:tc>
        <w:tc>
          <w:tcPr>
            <w:tcW w:w="1276" w:type="dxa"/>
            <w:vMerge/>
            <w:tcBorders>
              <w:top w:val="single" w:sz="4" w:space="0" w:color="auto"/>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single" w:sz="4" w:space="0" w:color="auto"/>
              <w:left w:val="single" w:sz="4" w:space="0" w:color="auto"/>
              <w:bottom w:val="nil"/>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40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25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trHeight w:val="300"/>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0AED" w:rsidRPr="00C60AED" w:rsidRDefault="00C60AED"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Kit CK BM cinético com 60 ml</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Caixa</w:t>
            </w:r>
          </w:p>
        </w:tc>
        <w:tc>
          <w:tcPr>
            <w:tcW w:w="1657" w:type="dxa"/>
            <w:tcBorders>
              <w:top w:val="single" w:sz="4" w:space="0" w:color="auto"/>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5</w:t>
            </w:r>
          </w:p>
        </w:tc>
        <w:tc>
          <w:tcPr>
            <w:tcW w:w="1406" w:type="dxa"/>
            <w:gridSpan w:val="2"/>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c>
          <w:tcPr>
            <w:tcW w:w="1256" w:type="dxa"/>
            <w:gridSpan w:val="2"/>
            <w:tcBorders>
              <w:top w:val="nil"/>
              <w:left w:val="nil"/>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r>
      <w:tr w:rsidR="00C60AED" w:rsidRPr="00997A59" w:rsidTr="00F95766">
        <w:trPr>
          <w:trHeight w:val="30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60AED" w:rsidRPr="00C60AED" w:rsidRDefault="00C60AED"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Kit CK Total cinético com 60 ml</w:t>
            </w:r>
          </w:p>
        </w:tc>
        <w:tc>
          <w:tcPr>
            <w:tcW w:w="1276"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Caixa</w:t>
            </w:r>
          </w:p>
        </w:tc>
        <w:tc>
          <w:tcPr>
            <w:tcW w:w="1657"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5</w:t>
            </w:r>
          </w:p>
        </w:tc>
        <w:tc>
          <w:tcPr>
            <w:tcW w:w="1406" w:type="dxa"/>
            <w:gridSpan w:val="2"/>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c>
          <w:tcPr>
            <w:tcW w:w="1256" w:type="dxa"/>
            <w:gridSpan w:val="2"/>
            <w:tcBorders>
              <w:top w:val="nil"/>
              <w:left w:val="nil"/>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r>
      <w:tr w:rsidR="00C60AED" w:rsidRPr="00997A59" w:rsidTr="00F95766">
        <w:trPr>
          <w:trHeight w:val="30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60AED" w:rsidRPr="00C60AED" w:rsidRDefault="00C60AED"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nil"/>
              <w:bottom w:val="single" w:sz="4" w:space="0" w:color="auto"/>
              <w:right w:val="single" w:sz="4" w:space="0" w:color="000000"/>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Kit para VDRL pronto para uso</w:t>
            </w:r>
          </w:p>
        </w:tc>
        <w:tc>
          <w:tcPr>
            <w:tcW w:w="1276"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Caixa</w:t>
            </w:r>
          </w:p>
        </w:tc>
        <w:tc>
          <w:tcPr>
            <w:tcW w:w="1657"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10</w:t>
            </w:r>
          </w:p>
        </w:tc>
        <w:tc>
          <w:tcPr>
            <w:tcW w:w="1406" w:type="dxa"/>
            <w:gridSpan w:val="2"/>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c>
          <w:tcPr>
            <w:tcW w:w="1256" w:type="dxa"/>
            <w:gridSpan w:val="2"/>
            <w:tcBorders>
              <w:top w:val="nil"/>
              <w:left w:val="nil"/>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r>
      <w:tr w:rsidR="00C60AED" w:rsidRPr="00997A59" w:rsidTr="00F95766">
        <w:trPr>
          <w:trHeight w:val="31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60AED" w:rsidRPr="00C60AED" w:rsidRDefault="00C60AED"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Lâmina de vidro 25 x 75 mm com 100 unidades</w:t>
            </w:r>
          </w:p>
        </w:tc>
        <w:tc>
          <w:tcPr>
            <w:tcW w:w="1276"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Caixa</w:t>
            </w:r>
          </w:p>
        </w:tc>
        <w:tc>
          <w:tcPr>
            <w:tcW w:w="1657"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10</w:t>
            </w:r>
          </w:p>
        </w:tc>
        <w:tc>
          <w:tcPr>
            <w:tcW w:w="1406" w:type="dxa"/>
            <w:gridSpan w:val="2"/>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c>
          <w:tcPr>
            <w:tcW w:w="1256" w:type="dxa"/>
            <w:gridSpan w:val="2"/>
            <w:tcBorders>
              <w:top w:val="nil"/>
              <w:left w:val="nil"/>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r>
      <w:tr w:rsidR="00C60AED" w:rsidRPr="00997A59" w:rsidTr="00F95766">
        <w:trPr>
          <w:trHeight w:val="31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60AED" w:rsidRPr="00C60AED" w:rsidRDefault="00C60AED"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nil"/>
              <w:bottom w:val="nil"/>
              <w:right w:val="single" w:sz="4" w:space="0" w:color="auto"/>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Lâmínulas 22 x 22 mm com 100 unidades</w:t>
            </w:r>
          </w:p>
        </w:tc>
        <w:tc>
          <w:tcPr>
            <w:tcW w:w="1276" w:type="dxa"/>
            <w:tcBorders>
              <w:top w:val="nil"/>
              <w:left w:val="nil"/>
              <w:bottom w:val="nil"/>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Caixa</w:t>
            </w:r>
          </w:p>
        </w:tc>
        <w:tc>
          <w:tcPr>
            <w:tcW w:w="1657" w:type="dxa"/>
            <w:tcBorders>
              <w:top w:val="nil"/>
              <w:left w:val="nil"/>
              <w:bottom w:val="nil"/>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30</w:t>
            </w:r>
          </w:p>
        </w:tc>
        <w:tc>
          <w:tcPr>
            <w:tcW w:w="1406" w:type="dxa"/>
            <w:gridSpan w:val="2"/>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c>
          <w:tcPr>
            <w:tcW w:w="1256" w:type="dxa"/>
            <w:gridSpan w:val="2"/>
            <w:tcBorders>
              <w:top w:val="nil"/>
              <w:left w:val="nil"/>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r>
      <w:tr w:rsidR="00C60AED" w:rsidRPr="00997A59" w:rsidTr="00F95766">
        <w:trPr>
          <w:trHeight w:val="31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60AED" w:rsidRPr="00C60AED" w:rsidRDefault="00C60AED"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Lâmpada halógena tipo jc de 6 v e 10 W</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Unidade</w:t>
            </w:r>
          </w:p>
        </w:tc>
        <w:tc>
          <w:tcPr>
            <w:tcW w:w="1657" w:type="dxa"/>
            <w:tcBorders>
              <w:top w:val="single" w:sz="4" w:space="0" w:color="auto"/>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6</w:t>
            </w:r>
          </w:p>
        </w:tc>
        <w:tc>
          <w:tcPr>
            <w:tcW w:w="1406" w:type="dxa"/>
            <w:gridSpan w:val="2"/>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c>
          <w:tcPr>
            <w:tcW w:w="1256" w:type="dxa"/>
            <w:gridSpan w:val="2"/>
            <w:tcBorders>
              <w:top w:val="nil"/>
              <w:left w:val="nil"/>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r>
      <w:tr w:rsidR="00C60AED" w:rsidRPr="00997A59" w:rsidTr="00F95766">
        <w:trPr>
          <w:trHeight w:val="31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60AED" w:rsidRPr="00C60AED" w:rsidRDefault="00C60AED"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Lâmina de vidro para esfregaço</w:t>
            </w:r>
          </w:p>
        </w:tc>
        <w:tc>
          <w:tcPr>
            <w:tcW w:w="1276"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Caixa</w:t>
            </w:r>
          </w:p>
        </w:tc>
        <w:tc>
          <w:tcPr>
            <w:tcW w:w="1657"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5</w:t>
            </w:r>
          </w:p>
        </w:tc>
        <w:tc>
          <w:tcPr>
            <w:tcW w:w="1406" w:type="dxa"/>
            <w:gridSpan w:val="2"/>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c>
          <w:tcPr>
            <w:tcW w:w="1256" w:type="dxa"/>
            <w:gridSpan w:val="2"/>
            <w:tcBorders>
              <w:top w:val="nil"/>
              <w:left w:val="nil"/>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r>
      <w:tr w:rsidR="00C60AED" w:rsidRPr="00997A59" w:rsidTr="00F95766">
        <w:trPr>
          <w:trHeight w:val="31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60AED" w:rsidRPr="00C60AED" w:rsidRDefault="00C60AED"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Lápis demográfico</w:t>
            </w:r>
          </w:p>
        </w:tc>
        <w:tc>
          <w:tcPr>
            <w:tcW w:w="1276"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Unidade</w:t>
            </w:r>
          </w:p>
        </w:tc>
        <w:tc>
          <w:tcPr>
            <w:tcW w:w="1657"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2</w:t>
            </w:r>
          </w:p>
        </w:tc>
        <w:tc>
          <w:tcPr>
            <w:tcW w:w="1406" w:type="dxa"/>
            <w:gridSpan w:val="2"/>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c>
          <w:tcPr>
            <w:tcW w:w="1256" w:type="dxa"/>
            <w:gridSpan w:val="2"/>
            <w:tcBorders>
              <w:top w:val="nil"/>
              <w:left w:val="nil"/>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r>
      <w:tr w:rsidR="00C60AED" w:rsidRPr="00997A59" w:rsidTr="00F95766">
        <w:trPr>
          <w:trHeight w:val="31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60AED" w:rsidRPr="00C60AED" w:rsidRDefault="00C60AED"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 xml:space="preserve">Lugol </w:t>
            </w:r>
          </w:p>
        </w:tc>
        <w:tc>
          <w:tcPr>
            <w:tcW w:w="1276"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Frasco</w:t>
            </w:r>
          </w:p>
        </w:tc>
        <w:tc>
          <w:tcPr>
            <w:tcW w:w="1657"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3</w:t>
            </w:r>
          </w:p>
        </w:tc>
        <w:tc>
          <w:tcPr>
            <w:tcW w:w="1406" w:type="dxa"/>
            <w:gridSpan w:val="2"/>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c>
          <w:tcPr>
            <w:tcW w:w="1256" w:type="dxa"/>
            <w:gridSpan w:val="2"/>
            <w:tcBorders>
              <w:top w:val="nil"/>
              <w:left w:val="nil"/>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r>
      <w:tr w:rsidR="00C60AED" w:rsidRPr="00997A59" w:rsidTr="00F95766">
        <w:trPr>
          <w:trHeight w:val="31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60AED" w:rsidRPr="00C60AED" w:rsidRDefault="00C60AED"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Micropipetador automático com dispensador de 10 microlitros</w:t>
            </w:r>
          </w:p>
        </w:tc>
        <w:tc>
          <w:tcPr>
            <w:tcW w:w="1276"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Unidade</w:t>
            </w:r>
          </w:p>
        </w:tc>
        <w:tc>
          <w:tcPr>
            <w:tcW w:w="1657"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2</w:t>
            </w:r>
          </w:p>
        </w:tc>
        <w:tc>
          <w:tcPr>
            <w:tcW w:w="1406" w:type="dxa"/>
            <w:gridSpan w:val="2"/>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c>
          <w:tcPr>
            <w:tcW w:w="1256" w:type="dxa"/>
            <w:gridSpan w:val="2"/>
            <w:tcBorders>
              <w:top w:val="nil"/>
              <w:left w:val="nil"/>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r>
      <w:tr w:rsidR="00C60AED" w:rsidRPr="00997A59" w:rsidTr="00F95766">
        <w:trPr>
          <w:trHeight w:val="31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60AED" w:rsidRPr="00C60AED" w:rsidRDefault="00C60AED"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Micropipetador automático com dispensador de 20 microlitros</w:t>
            </w:r>
          </w:p>
        </w:tc>
        <w:tc>
          <w:tcPr>
            <w:tcW w:w="1276"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Unidade</w:t>
            </w:r>
          </w:p>
        </w:tc>
        <w:tc>
          <w:tcPr>
            <w:tcW w:w="1657"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2</w:t>
            </w:r>
          </w:p>
        </w:tc>
        <w:tc>
          <w:tcPr>
            <w:tcW w:w="1406" w:type="dxa"/>
            <w:gridSpan w:val="2"/>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c>
          <w:tcPr>
            <w:tcW w:w="1256" w:type="dxa"/>
            <w:gridSpan w:val="2"/>
            <w:tcBorders>
              <w:top w:val="nil"/>
              <w:left w:val="nil"/>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r>
      <w:tr w:rsidR="00C60AED" w:rsidRPr="00997A59" w:rsidTr="00F95766">
        <w:trPr>
          <w:trHeight w:val="31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60AED" w:rsidRPr="00C60AED" w:rsidRDefault="00C60AED"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Micropipetador automático com dispensador de 50 microlitros</w:t>
            </w:r>
          </w:p>
        </w:tc>
        <w:tc>
          <w:tcPr>
            <w:tcW w:w="1276"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Unidade</w:t>
            </w:r>
          </w:p>
        </w:tc>
        <w:tc>
          <w:tcPr>
            <w:tcW w:w="1657"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2</w:t>
            </w:r>
          </w:p>
        </w:tc>
        <w:tc>
          <w:tcPr>
            <w:tcW w:w="1406" w:type="dxa"/>
            <w:gridSpan w:val="2"/>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c>
          <w:tcPr>
            <w:tcW w:w="1256" w:type="dxa"/>
            <w:gridSpan w:val="2"/>
            <w:tcBorders>
              <w:top w:val="nil"/>
              <w:left w:val="nil"/>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r>
      <w:tr w:rsidR="00C60AED" w:rsidRPr="00997A59" w:rsidTr="00F95766">
        <w:trPr>
          <w:trHeight w:val="31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60AED" w:rsidRPr="00C60AED" w:rsidRDefault="00C60AED"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Micropipetador automático com dispensador de 100 microlitros</w:t>
            </w:r>
          </w:p>
        </w:tc>
        <w:tc>
          <w:tcPr>
            <w:tcW w:w="1276"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Unidade</w:t>
            </w:r>
          </w:p>
        </w:tc>
        <w:tc>
          <w:tcPr>
            <w:tcW w:w="1657"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2</w:t>
            </w:r>
          </w:p>
        </w:tc>
        <w:tc>
          <w:tcPr>
            <w:tcW w:w="1406" w:type="dxa"/>
            <w:gridSpan w:val="2"/>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c>
          <w:tcPr>
            <w:tcW w:w="1256" w:type="dxa"/>
            <w:gridSpan w:val="2"/>
            <w:tcBorders>
              <w:top w:val="nil"/>
              <w:left w:val="nil"/>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r>
      <w:tr w:rsidR="00C60AED" w:rsidRPr="00997A59" w:rsidTr="00F95766">
        <w:trPr>
          <w:trHeight w:val="31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60AED" w:rsidRPr="00C60AED" w:rsidRDefault="00C60AED"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Micropipetador automático com dispensador de 200 microlitros</w:t>
            </w:r>
          </w:p>
        </w:tc>
        <w:tc>
          <w:tcPr>
            <w:tcW w:w="1276"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Unidade</w:t>
            </w:r>
          </w:p>
        </w:tc>
        <w:tc>
          <w:tcPr>
            <w:tcW w:w="1657"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2</w:t>
            </w:r>
          </w:p>
        </w:tc>
        <w:tc>
          <w:tcPr>
            <w:tcW w:w="1406" w:type="dxa"/>
            <w:gridSpan w:val="2"/>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c>
          <w:tcPr>
            <w:tcW w:w="1256" w:type="dxa"/>
            <w:gridSpan w:val="2"/>
            <w:tcBorders>
              <w:top w:val="nil"/>
              <w:left w:val="nil"/>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r>
      <w:tr w:rsidR="00C60AED" w:rsidRPr="00997A59" w:rsidTr="00F95766">
        <w:trPr>
          <w:trHeight w:val="31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60AED" w:rsidRPr="00C60AED" w:rsidRDefault="00C60AED"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Micropipetador  automático com dispensador de 1 ml</w:t>
            </w:r>
          </w:p>
        </w:tc>
        <w:tc>
          <w:tcPr>
            <w:tcW w:w="1276"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Unidade</w:t>
            </w:r>
          </w:p>
        </w:tc>
        <w:tc>
          <w:tcPr>
            <w:tcW w:w="1657"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2</w:t>
            </w:r>
          </w:p>
        </w:tc>
        <w:tc>
          <w:tcPr>
            <w:tcW w:w="1406" w:type="dxa"/>
            <w:gridSpan w:val="2"/>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c>
          <w:tcPr>
            <w:tcW w:w="1256" w:type="dxa"/>
            <w:gridSpan w:val="2"/>
            <w:tcBorders>
              <w:top w:val="nil"/>
              <w:left w:val="nil"/>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r>
      <w:tr w:rsidR="00C60AED" w:rsidRPr="00997A59" w:rsidTr="00F95766">
        <w:trPr>
          <w:trHeight w:val="31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60AED" w:rsidRPr="00C60AED" w:rsidRDefault="00C60AED"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Micropipetador automático com dispensador de 2 ml</w:t>
            </w:r>
          </w:p>
        </w:tc>
        <w:tc>
          <w:tcPr>
            <w:tcW w:w="1276"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Unidade</w:t>
            </w:r>
          </w:p>
        </w:tc>
        <w:tc>
          <w:tcPr>
            <w:tcW w:w="1657"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2</w:t>
            </w:r>
          </w:p>
        </w:tc>
        <w:tc>
          <w:tcPr>
            <w:tcW w:w="1406" w:type="dxa"/>
            <w:gridSpan w:val="2"/>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c>
          <w:tcPr>
            <w:tcW w:w="1256" w:type="dxa"/>
            <w:gridSpan w:val="2"/>
            <w:tcBorders>
              <w:top w:val="nil"/>
              <w:left w:val="nil"/>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r>
      <w:tr w:rsidR="00C60AED" w:rsidRPr="00997A59" w:rsidTr="00F95766">
        <w:trPr>
          <w:trHeight w:val="31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60AED" w:rsidRPr="00C60AED" w:rsidRDefault="00C60AED"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Micropipetador automático com dispensador de 500 microlitros</w:t>
            </w:r>
          </w:p>
        </w:tc>
        <w:tc>
          <w:tcPr>
            <w:tcW w:w="1276"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Unidade</w:t>
            </w:r>
          </w:p>
        </w:tc>
        <w:tc>
          <w:tcPr>
            <w:tcW w:w="1657"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2</w:t>
            </w:r>
          </w:p>
        </w:tc>
        <w:tc>
          <w:tcPr>
            <w:tcW w:w="1406" w:type="dxa"/>
            <w:gridSpan w:val="2"/>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c>
          <w:tcPr>
            <w:tcW w:w="1256" w:type="dxa"/>
            <w:gridSpan w:val="2"/>
            <w:tcBorders>
              <w:top w:val="nil"/>
              <w:left w:val="nil"/>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r>
      <w:tr w:rsidR="00C60AED" w:rsidRPr="00997A59" w:rsidTr="00F95766">
        <w:trPr>
          <w:trHeight w:val="31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60AED" w:rsidRPr="00C60AED" w:rsidRDefault="00C60AED"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Papel alumínio 30 metros</w:t>
            </w:r>
          </w:p>
        </w:tc>
        <w:tc>
          <w:tcPr>
            <w:tcW w:w="1276"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Unidade</w:t>
            </w:r>
          </w:p>
        </w:tc>
        <w:tc>
          <w:tcPr>
            <w:tcW w:w="1657"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24</w:t>
            </w:r>
          </w:p>
        </w:tc>
        <w:tc>
          <w:tcPr>
            <w:tcW w:w="1406" w:type="dxa"/>
            <w:gridSpan w:val="2"/>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c>
          <w:tcPr>
            <w:tcW w:w="1256" w:type="dxa"/>
            <w:gridSpan w:val="2"/>
            <w:tcBorders>
              <w:top w:val="nil"/>
              <w:left w:val="nil"/>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r>
      <w:tr w:rsidR="00C60AED" w:rsidRPr="00997A59" w:rsidTr="00F95766">
        <w:trPr>
          <w:trHeight w:val="31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60AED" w:rsidRPr="00C60AED" w:rsidRDefault="00C60AED"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nil"/>
              <w:bottom w:val="single" w:sz="4" w:space="0" w:color="auto"/>
              <w:right w:val="single" w:sz="4" w:space="0" w:color="000000"/>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Papel filtro para Mucoproteina</w:t>
            </w:r>
          </w:p>
        </w:tc>
        <w:tc>
          <w:tcPr>
            <w:tcW w:w="1276"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Caixa</w:t>
            </w:r>
          </w:p>
        </w:tc>
        <w:tc>
          <w:tcPr>
            <w:tcW w:w="1657"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12</w:t>
            </w:r>
          </w:p>
        </w:tc>
        <w:tc>
          <w:tcPr>
            <w:tcW w:w="1406" w:type="dxa"/>
            <w:gridSpan w:val="2"/>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c>
          <w:tcPr>
            <w:tcW w:w="1256" w:type="dxa"/>
            <w:gridSpan w:val="2"/>
            <w:tcBorders>
              <w:top w:val="nil"/>
              <w:left w:val="nil"/>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r>
      <w:tr w:rsidR="00C60AED" w:rsidRPr="00997A59" w:rsidTr="00F95766">
        <w:trPr>
          <w:trHeight w:val="30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60AED" w:rsidRPr="00C60AED" w:rsidRDefault="00C60AED"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Papel termosensível 30x50 branco para analisador hematológico Mindray mod. BC 2300</w:t>
            </w:r>
          </w:p>
        </w:tc>
        <w:tc>
          <w:tcPr>
            <w:tcW w:w="1276"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Unidade</w:t>
            </w:r>
          </w:p>
        </w:tc>
        <w:tc>
          <w:tcPr>
            <w:tcW w:w="1657"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60</w:t>
            </w:r>
          </w:p>
        </w:tc>
        <w:tc>
          <w:tcPr>
            <w:tcW w:w="1406" w:type="dxa"/>
            <w:gridSpan w:val="2"/>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c>
          <w:tcPr>
            <w:tcW w:w="1256" w:type="dxa"/>
            <w:gridSpan w:val="2"/>
            <w:tcBorders>
              <w:top w:val="nil"/>
              <w:left w:val="nil"/>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r>
      <w:tr w:rsidR="00C60AED" w:rsidRPr="00997A59" w:rsidTr="00F95766">
        <w:trPr>
          <w:trHeight w:val="31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60AED" w:rsidRPr="00C60AED" w:rsidRDefault="00C60AED"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Pipeta para fezes - tamanho único</w:t>
            </w:r>
          </w:p>
        </w:tc>
        <w:tc>
          <w:tcPr>
            <w:tcW w:w="1276"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Unidade</w:t>
            </w:r>
          </w:p>
        </w:tc>
        <w:tc>
          <w:tcPr>
            <w:tcW w:w="1657"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500</w:t>
            </w:r>
          </w:p>
        </w:tc>
        <w:tc>
          <w:tcPr>
            <w:tcW w:w="1406" w:type="dxa"/>
            <w:gridSpan w:val="2"/>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c>
          <w:tcPr>
            <w:tcW w:w="1256" w:type="dxa"/>
            <w:gridSpan w:val="2"/>
            <w:tcBorders>
              <w:top w:val="nil"/>
              <w:left w:val="nil"/>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r>
      <w:tr w:rsidR="00C60AED" w:rsidRPr="00997A59" w:rsidTr="00F95766">
        <w:trPr>
          <w:trHeight w:val="31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60AED" w:rsidRPr="00C60AED" w:rsidRDefault="00C60AED"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Pipeta sorológica de 10 ml graduada a cada 1 ml</w:t>
            </w:r>
          </w:p>
        </w:tc>
        <w:tc>
          <w:tcPr>
            <w:tcW w:w="1276"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Unidade</w:t>
            </w:r>
          </w:p>
        </w:tc>
        <w:tc>
          <w:tcPr>
            <w:tcW w:w="1657"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20</w:t>
            </w:r>
          </w:p>
        </w:tc>
        <w:tc>
          <w:tcPr>
            <w:tcW w:w="1406" w:type="dxa"/>
            <w:gridSpan w:val="2"/>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c>
          <w:tcPr>
            <w:tcW w:w="1256" w:type="dxa"/>
            <w:gridSpan w:val="2"/>
            <w:tcBorders>
              <w:top w:val="nil"/>
              <w:left w:val="nil"/>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r>
      <w:tr w:rsidR="00C60AED" w:rsidRPr="00997A59" w:rsidTr="00F95766">
        <w:trPr>
          <w:trHeight w:val="31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60AED" w:rsidRPr="00C60AED" w:rsidRDefault="00C60AED"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Pipeta sorológica de 5 ml graduada a cada 1 ml</w:t>
            </w:r>
          </w:p>
        </w:tc>
        <w:tc>
          <w:tcPr>
            <w:tcW w:w="1276"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Unidade</w:t>
            </w:r>
          </w:p>
        </w:tc>
        <w:tc>
          <w:tcPr>
            <w:tcW w:w="1657"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30</w:t>
            </w:r>
          </w:p>
        </w:tc>
        <w:tc>
          <w:tcPr>
            <w:tcW w:w="1406" w:type="dxa"/>
            <w:gridSpan w:val="2"/>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c>
          <w:tcPr>
            <w:tcW w:w="1256" w:type="dxa"/>
            <w:gridSpan w:val="2"/>
            <w:tcBorders>
              <w:top w:val="nil"/>
              <w:left w:val="nil"/>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r>
      <w:tr w:rsidR="00C60AED" w:rsidRPr="00997A59" w:rsidTr="00F95766">
        <w:trPr>
          <w:trHeight w:val="31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60AED" w:rsidRPr="00C60AED" w:rsidRDefault="00C60AED"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Pipeta sorológica de 2 ml</w:t>
            </w:r>
          </w:p>
        </w:tc>
        <w:tc>
          <w:tcPr>
            <w:tcW w:w="1276"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Unidade</w:t>
            </w:r>
          </w:p>
        </w:tc>
        <w:tc>
          <w:tcPr>
            <w:tcW w:w="1657"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20</w:t>
            </w:r>
          </w:p>
        </w:tc>
        <w:tc>
          <w:tcPr>
            <w:tcW w:w="1406" w:type="dxa"/>
            <w:gridSpan w:val="2"/>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c>
          <w:tcPr>
            <w:tcW w:w="1256" w:type="dxa"/>
            <w:gridSpan w:val="2"/>
            <w:tcBorders>
              <w:top w:val="nil"/>
              <w:left w:val="nil"/>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r>
      <w:tr w:rsidR="00C60AED" w:rsidRPr="00997A59" w:rsidTr="00F95766">
        <w:trPr>
          <w:trHeight w:val="31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60AED" w:rsidRPr="00C60AED" w:rsidRDefault="00C60AED"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Pipeta sorológica de 1 ml</w:t>
            </w:r>
          </w:p>
        </w:tc>
        <w:tc>
          <w:tcPr>
            <w:tcW w:w="1276"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Unidade</w:t>
            </w:r>
          </w:p>
        </w:tc>
        <w:tc>
          <w:tcPr>
            <w:tcW w:w="1657"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20</w:t>
            </w:r>
          </w:p>
        </w:tc>
        <w:tc>
          <w:tcPr>
            <w:tcW w:w="1406" w:type="dxa"/>
            <w:gridSpan w:val="2"/>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c>
          <w:tcPr>
            <w:tcW w:w="1256" w:type="dxa"/>
            <w:gridSpan w:val="2"/>
            <w:tcBorders>
              <w:top w:val="nil"/>
              <w:left w:val="nil"/>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r>
      <w:tr w:rsidR="00C60AED" w:rsidRPr="00997A59" w:rsidTr="00F95766">
        <w:trPr>
          <w:trHeight w:val="31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60AED" w:rsidRPr="00C60AED" w:rsidRDefault="00C60AED"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Pipeta de vidro para VHS</w:t>
            </w:r>
          </w:p>
        </w:tc>
        <w:tc>
          <w:tcPr>
            <w:tcW w:w="1276"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Unidade</w:t>
            </w:r>
          </w:p>
        </w:tc>
        <w:tc>
          <w:tcPr>
            <w:tcW w:w="1657"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15</w:t>
            </w:r>
          </w:p>
        </w:tc>
        <w:tc>
          <w:tcPr>
            <w:tcW w:w="1406" w:type="dxa"/>
            <w:gridSpan w:val="2"/>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c>
          <w:tcPr>
            <w:tcW w:w="1256" w:type="dxa"/>
            <w:gridSpan w:val="2"/>
            <w:tcBorders>
              <w:top w:val="nil"/>
              <w:left w:val="nil"/>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r>
      <w:tr w:rsidR="00C60AED" w:rsidRPr="00997A59" w:rsidTr="00F95766">
        <w:trPr>
          <w:trHeight w:val="31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60AED" w:rsidRPr="00C60AED" w:rsidRDefault="00C60AED"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Pipetador para encaixar pipeta para VHS (adaptador-aspirador)</w:t>
            </w:r>
          </w:p>
        </w:tc>
        <w:tc>
          <w:tcPr>
            <w:tcW w:w="1276"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Unidade</w:t>
            </w:r>
          </w:p>
        </w:tc>
        <w:tc>
          <w:tcPr>
            <w:tcW w:w="1657"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2</w:t>
            </w:r>
          </w:p>
        </w:tc>
        <w:tc>
          <w:tcPr>
            <w:tcW w:w="1406" w:type="dxa"/>
            <w:gridSpan w:val="2"/>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c>
          <w:tcPr>
            <w:tcW w:w="1256" w:type="dxa"/>
            <w:gridSpan w:val="2"/>
            <w:tcBorders>
              <w:top w:val="nil"/>
              <w:left w:val="nil"/>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r>
      <w:tr w:rsidR="00C60AED" w:rsidRPr="00997A59" w:rsidTr="00F95766">
        <w:trPr>
          <w:trHeight w:val="31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60AED" w:rsidRPr="00C60AED" w:rsidRDefault="00C60AED"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Placa escavada para VDRL</w:t>
            </w:r>
          </w:p>
        </w:tc>
        <w:tc>
          <w:tcPr>
            <w:tcW w:w="1276"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Unidade</w:t>
            </w:r>
          </w:p>
        </w:tc>
        <w:tc>
          <w:tcPr>
            <w:tcW w:w="1657"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100</w:t>
            </w:r>
          </w:p>
        </w:tc>
        <w:tc>
          <w:tcPr>
            <w:tcW w:w="1406" w:type="dxa"/>
            <w:gridSpan w:val="2"/>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c>
          <w:tcPr>
            <w:tcW w:w="1256" w:type="dxa"/>
            <w:gridSpan w:val="2"/>
            <w:tcBorders>
              <w:top w:val="nil"/>
              <w:left w:val="nil"/>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r>
      <w:tr w:rsidR="00C60AED" w:rsidRPr="00997A59" w:rsidTr="00F95766">
        <w:trPr>
          <w:trHeight w:val="31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60AED" w:rsidRPr="00C60AED" w:rsidRDefault="00C60AED"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Placa de petri</w:t>
            </w:r>
          </w:p>
        </w:tc>
        <w:tc>
          <w:tcPr>
            <w:tcW w:w="1276"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Unidade</w:t>
            </w:r>
          </w:p>
        </w:tc>
        <w:tc>
          <w:tcPr>
            <w:tcW w:w="1657"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5</w:t>
            </w:r>
          </w:p>
        </w:tc>
        <w:tc>
          <w:tcPr>
            <w:tcW w:w="1406" w:type="dxa"/>
            <w:gridSpan w:val="2"/>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c>
          <w:tcPr>
            <w:tcW w:w="1256" w:type="dxa"/>
            <w:gridSpan w:val="2"/>
            <w:tcBorders>
              <w:top w:val="nil"/>
              <w:left w:val="nil"/>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r>
      <w:tr w:rsidR="00C60AED" w:rsidRPr="00997A59" w:rsidTr="00F95766">
        <w:trPr>
          <w:trHeight w:val="31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60AED" w:rsidRPr="00C60AED" w:rsidRDefault="00C60AED"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Ponteias plásticas de 500 ul a 1000ul de capacidade</w:t>
            </w:r>
          </w:p>
        </w:tc>
        <w:tc>
          <w:tcPr>
            <w:tcW w:w="1276"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Unidade</w:t>
            </w:r>
          </w:p>
        </w:tc>
        <w:tc>
          <w:tcPr>
            <w:tcW w:w="1657"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1.500</w:t>
            </w:r>
          </w:p>
        </w:tc>
        <w:tc>
          <w:tcPr>
            <w:tcW w:w="1406" w:type="dxa"/>
            <w:gridSpan w:val="2"/>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c>
          <w:tcPr>
            <w:tcW w:w="1256" w:type="dxa"/>
            <w:gridSpan w:val="2"/>
            <w:tcBorders>
              <w:top w:val="nil"/>
              <w:left w:val="nil"/>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r>
      <w:tr w:rsidR="00C60AED" w:rsidRPr="00997A59" w:rsidTr="00F95766">
        <w:trPr>
          <w:trHeight w:val="30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60AED" w:rsidRPr="00C60AED" w:rsidRDefault="00C60AED"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Ponteias plásticas de 10 ul a 50ul de capacidade</w:t>
            </w:r>
          </w:p>
        </w:tc>
        <w:tc>
          <w:tcPr>
            <w:tcW w:w="1276"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Unidade</w:t>
            </w:r>
          </w:p>
        </w:tc>
        <w:tc>
          <w:tcPr>
            <w:tcW w:w="1657"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3.000</w:t>
            </w:r>
          </w:p>
        </w:tc>
        <w:tc>
          <w:tcPr>
            <w:tcW w:w="1406" w:type="dxa"/>
            <w:gridSpan w:val="2"/>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c>
          <w:tcPr>
            <w:tcW w:w="1256" w:type="dxa"/>
            <w:gridSpan w:val="2"/>
            <w:tcBorders>
              <w:top w:val="nil"/>
              <w:left w:val="nil"/>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r>
      <w:tr w:rsidR="00C60AED" w:rsidRPr="00997A59" w:rsidTr="00F95766">
        <w:trPr>
          <w:trHeight w:val="31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60AED" w:rsidRPr="00C60AED" w:rsidRDefault="00C60AED"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Ponteiras plásticas de 2 ml de capacidade</w:t>
            </w:r>
          </w:p>
        </w:tc>
        <w:tc>
          <w:tcPr>
            <w:tcW w:w="1276"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Unidade</w:t>
            </w:r>
          </w:p>
        </w:tc>
        <w:tc>
          <w:tcPr>
            <w:tcW w:w="1657"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20</w:t>
            </w:r>
          </w:p>
        </w:tc>
        <w:tc>
          <w:tcPr>
            <w:tcW w:w="1406" w:type="dxa"/>
            <w:gridSpan w:val="2"/>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c>
          <w:tcPr>
            <w:tcW w:w="1256" w:type="dxa"/>
            <w:gridSpan w:val="2"/>
            <w:tcBorders>
              <w:top w:val="nil"/>
              <w:left w:val="nil"/>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r>
      <w:tr w:rsidR="00C60AED" w:rsidRPr="00997A59" w:rsidTr="00F95766">
        <w:trPr>
          <w:trHeight w:val="31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60AED" w:rsidRPr="00C60AED" w:rsidRDefault="00C60AED"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nil"/>
              <w:bottom w:val="single" w:sz="4" w:space="0" w:color="auto"/>
              <w:right w:val="single" w:sz="4" w:space="0" w:color="000000"/>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Proveta de 100 ml</w:t>
            </w:r>
          </w:p>
        </w:tc>
        <w:tc>
          <w:tcPr>
            <w:tcW w:w="1276"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Unidade</w:t>
            </w:r>
          </w:p>
        </w:tc>
        <w:tc>
          <w:tcPr>
            <w:tcW w:w="1657"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3</w:t>
            </w:r>
          </w:p>
        </w:tc>
        <w:tc>
          <w:tcPr>
            <w:tcW w:w="1406" w:type="dxa"/>
            <w:gridSpan w:val="2"/>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c>
          <w:tcPr>
            <w:tcW w:w="1256" w:type="dxa"/>
            <w:gridSpan w:val="2"/>
            <w:tcBorders>
              <w:top w:val="nil"/>
              <w:left w:val="nil"/>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r>
      <w:tr w:rsidR="00C60AED" w:rsidRPr="00997A59" w:rsidTr="00F95766">
        <w:trPr>
          <w:trHeight w:val="31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60AED" w:rsidRPr="00C60AED" w:rsidRDefault="00C60AED"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nil"/>
              <w:bottom w:val="single" w:sz="4" w:space="0" w:color="auto"/>
              <w:right w:val="single" w:sz="4" w:space="0" w:color="000000"/>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Proveta de 500 ml</w:t>
            </w:r>
          </w:p>
        </w:tc>
        <w:tc>
          <w:tcPr>
            <w:tcW w:w="1276"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Unidade</w:t>
            </w:r>
          </w:p>
        </w:tc>
        <w:tc>
          <w:tcPr>
            <w:tcW w:w="1657"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2</w:t>
            </w:r>
          </w:p>
        </w:tc>
        <w:tc>
          <w:tcPr>
            <w:tcW w:w="1406" w:type="dxa"/>
            <w:gridSpan w:val="2"/>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c>
          <w:tcPr>
            <w:tcW w:w="1256" w:type="dxa"/>
            <w:gridSpan w:val="2"/>
            <w:tcBorders>
              <w:top w:val="nil"/>
              <w:left w:val="nil"/>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r>
      <w:tr w:rsidR="00C60AED" w:rsidRPr="00997A59" w:rsidTr="00F95766">
        <w:trPr>
          <w:trHeight w:val="31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60AED" w:rsidRPr="00C60AED" w:rsidRDefault="00C60AED"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Reativos para tipagem sanguínea anti-D</w:t>
            </w:r>
          </w:p>
        </w:tc>
        <w:tc>
          <w:tcPr>
            <w:tcW w:w="1276"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Unidade</w:t>
            </w:r>
          </w:p>
        </w:tc>
        <w:tc>
          <w:tcPr>
            <w:tcW w:w="1657"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10</w:t>
            </w:r>
          </w:p>
        </w:tc>
        <w:tc>
          <w:tcPr>
            <w:tcW w:w="1406" w:type="dxa"/>
            <w:gridSpan w:val="2"/>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c>
          <w:tcPr>
            <w:tcW w:w="1256" w:type="dxa"/>
            <w:gridSpan w:val="2"/>
            <w:tcBorders>
              <w:top w:val="nil"/>
              <w:left w:val="nil"/>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r>
      <w:tr w:rsidR="00C60AED" w:rsidRPr="00997A59" w:rsidTr="00F95766">
        <w:trPr>
          <w:trHeight w:val="31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60AED" w:rsidRPr="00C60AED" w:rsidRDefault="00C60AED"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Reativos para tipagem sanguínea anti-A</w:t>
            </w:r>
          </w:p>
        </w:tc>
        <w:tc>
          <w:tcPr>
            <w:tcW w:w="1276"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Unidade</w:t>
            </w:r>
          </w:p>
        </w:tc>
        <w:tc>
          <w:tcPr>
            <w:tcW w:w="1657"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10</w:t>
            </w:r>
          </w:p>
        </w:tc>
        <w:tc>
          <w:tcPr>
            <w:tcW w:w="1406" w:type="dxa"/>
            <w:gridSpan w:val="2"/>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c>
          <w:tcPr>
            <w:tcW w:w="1256" w:type="dxa"/>
            <w:gridSpan w:val="2"/>
            <w:tcBorders>
              <w:top w:val="nil"/>
              <w:left w:val="nil"/>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r>
      <w:tr w:rsidR="00C60AED" w:rsidRPr="00997A59" w:rsidTr="00F95766">
        <w:trPr>
          <w:trHeight w:val="31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60AED" w:rsidRPr="00C60AED" w:rsidRDefault="00C60AED"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Reativos para tipagem sanguínea anti-B</w:t>
            </w:r>
          </w:p>
        </w:tc>
        <w:tc>
          <w:tcPr>
            <w:tcW w:w="1276"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Unidade</w:t>
            </w:r>
          </w:p>
        </w:tc>
        <w:tc>
          <w:tcPr>
            <w:tcW w:w="1657"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10</w:t>
            </w:r>
          </w:p>
        </w:tc>
        <w:tc>
          <w:tcPr>
            <w:tcW w:w="1406" w:type="dxa"/>
            <w:gridSpan w:val="2"/>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c>
          <w:tcPr>
            <w:tcW w:w="1256" w:type="dxa"/>
            <w:gridSpan w:val="2"/>
            <w:tcBorders>
              <w:top w:val="nil"/>
              <w:left w:val="nil"/>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r>
      <w:tr w:rsidR="00C60AED" w:rsidRPr="00997A59" w:rsidTr="00F95766">
        <w:trPr>
          <w:trHeight w:val="31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60AED" w:rsidRPr="00C60AED" w:rsidRDefault="00C60AED"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nil"/>
              <w:bottom w:val="single" w:sz="4" w:space="0" w:color="auto"/>
              <w:right w:val="single" w:sz="4" w:space="0" w:color="000000"/>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Reativos para Coombs</w:t>
            </w:r>
          </w:p>
        </w:tc>
        <w:tc>
          <w:tcPr>
            <w:tcW w:w="1276"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Unidade</w:t>
            </w:r>
          </w:p>
        </w:tc>
        <w:tc>
          <w:tcPr>
            <w:tcW w:w="1657"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6</w:t>
            </w:r>
          </w:p>
        </w:tc>
        <w:tc>
          <w:tcPr>
            <w:tcW w:w="1406" w:type="dxa"/>
            <w:gridSpan w:val="2"/>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c>
          <w:tcPr>
            <w:tcW w:w="1256" w:type="dxa"/>
            <w:gridSpan w:val="2"/>
            <w:tcBorders>
              <w:top w:val="nil"/>
              <w:left w:val="nil"/>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r>
      <w:tr w:rsidR="00C60AED" w:rsidRPr="00997A59" w:rsidTr="00F95766">
        <w:trPr>
          <w:trHeight w:val="31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60AED" w:rsidRPr="00C60AED" w:rsidRDefault="00C60AED"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Reativos para PCR em látex sem diluição</w:t>
            </w:r>
          </w:p>
        </w:tc>
        <w:tc>
          <w:tcPr>
            <w:tcW w:w="1276"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Unidade</w:t>
            </w:r>
          </w:p>
        </w:tc>
        <w:tc>
          <w:tcPr>
            <w:tcW w:w="1657"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12</w:t>
            </w:r>
          </w:p>
        </w:tc>
        <w:tc>
          <w:tcPr>
            <w:tcW w:w="1406" w:type="dxa"/>
            <w:gridSpan w:val="2"/>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c>
          <w:tcPr>
            <w:tcW w:w="1256" w:type="dxa"/>
            <w:gridSpan w:val="2"/>
            <w:tcBorders>
              <w:top w:val="nil"/>
              <w:left w:val="nil"/>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r>
      <w:tr w:rsidR="00C60AED" w:rsidRPr="00997A59" w:rsidTr="00F95766">
        <w:trPr>
          <w:trHeight w:val="31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60AED" w:rsidRPr="00C60AED" w:rsidRDefault="00C60AED"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Reativos para látex fator reumatóide em látex sem diluição</w:t>
            </w:r>
          </w:p>
        </w:tc>
        <w:tc>
          <w:tcPr>
            <w:tcW w:w="1276"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Unidade</w:t>
            </w:r>
          </w:p>
        </w:tc>
        <w:tc>
          <w:tcPr>
            <w:tcW w:w="1657"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12</w:t>
            </w:r>
          </w:p>
        </w:tc>
        <w:tc>
          <w:tcPr>
            <w:tcW w:w="1406" w:type="dxa"/>
            <w:gridSpan w:val="2"/>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c>
          <w:tcPr>
            <w:tcW w:w="1256" w:type="dxa"/>
            <w:gridSpan w:val="2"/>
            <w:tcBorders>
              <w:top w:val="nil"/>
              <w:left w:val="nil"/>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r>
      <w:tr w:rsidR="00C60AED" w:rsidRPr="00997A59" w:rsidTr="00F95766">
        <w:trPr>
          <w:trHeight w:val="30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60AED" w:rsidRPr="00C60AED" w:rsidRDefault="00C60AED"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Reativos para ASLO em látex sem diluição</w:t>
            </w:r>
          </w:p>
        </w:tc>
        <w:tc>
          <w:tcPr>
            <w:tcW w:w="1276"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Unidade</w:t>
            </w:r>
          </w:p>
        </w:tc>
        <w:tc>
          <w:tcPr>
            <w:tcW w:w="1657"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20</w:t>
            </w:r>
          </w:p>
        </w:tc>
        <w:tc>
          <w:tcPr>
            <w:tcW w:w="1406" w:type="dxa"/>
            <w:gridSpan w:val="2"/>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c>
          <w:tcPr>
            <w:tcW w:w="1256" w:type="dxa"/>
            <w:gridSpan w:val="2"/>
            <w:tcBorders>
              <w:top w:val="nil"/>
              <w:left w:val="nil"/>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r>
      <w:tr w:rsidR="00C60AED" w:rsidRPr="00997A59" w:rsidTr="00F95766">
        <w:trPr>
          <w:trHeight w:val="31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60AED" w:rsidRPr="00C60AED" w:rsidRDefault="00C60AED"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Relógio despertador com marcadores de tempo para diversas reações químicas simultâneas</w:t>
            </w:r>
          </w:p>
        </w:tc>
        <w:tc>
          <w:tcPr>
            <w:tcW w:w="1276"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Unidade</w:t>
            </w:r>
          </w:p>
        </w:tc>
        <w:tc>
          <w:tcPr>
            <w:tcW w:w="1657"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2</w:t>
            </w:r>
          </w:p>
        </w:tc>
        <w:tc>
          <w:tcPr>
            <w:tcW w:w="1406" w:type="dxa"/>
            <w:gridSpan w:val="2"/>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c>
          <w:tcPr>
            <w:tcW w:w="1256" w:type="dxa"/>
            <w:gridSpan w:val="2"/>
            <w:tcBorders>
              <w:top w:val="nil"/>
              <w:left w:val="nil"/>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r>
      <w:tr w:rsidR="00C60AED" w:rsidRPr="00997A59" w:rsidTr="00F95766">
        <w:trPr>
          <w:trHeight w:val="31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60AED" w:rsidRPr="00C60AED" w:rsidRDefault="00C60AED"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 xml:space="preserve">Saco plástico 10 x 28 gramatura 0, 15 </w:t>
            </w:r>
          </w:p>
        </w:tc>
        <w:tc>
          <w:tcPr>
            <w:tcW w:w="1276"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Unidade</w:t>
            </w:r>
          </w:p>
        </w:tc>
        <w:tc>
          <w:tcPr>
            <w:tcW w:w="1657"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10.000</w:t>
            </w:r>
          </w:p>
        </w:tc>
        <w:tc>
          <w:tcPr>
            <w:tcW w:w="1406" w:type="dxa"/>
            <w:gridSpan w:val="2"/>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c>
          <w:tcPr>
            <w:tcW w:w="1256" w:type="dxa"/>
            <w:gridSpan w:val="2"/>
            <w:tcBorders>
              <w:top w:val="nil"/>
              <w:left w:val="nil"/>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r>
      <w:tr w:rsidR="00C60AED" w:rsidRPr="00997A59" w:rsidTr="00F95766">
        <w:trPr>
          <w:trHeight w:val="315"/>
        </w:trPr>
        <w:tc>
          <w:tcPr>
            <w:tcW w:w="7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0AED" w:rsidRPr="00C60AED" w:rsidRDefault="00C60AED"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nil"/>
              <w:bottom w:val="nil"/>
              <w:right w:val="single" w:sz="4" w:space="0" w:color="000000"/>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 xml:space="preserve">Solução diluente para determinação de hemoglobina, do </w:t>
            </w:r>
            <w:r w:rsidRPr="00C60AED">
              <w:rPr>
                <w:rFonts w:ascii="Century Gothic" w:hAnsi="Century Gothic" w:cs="Arial"/>
                <w:sz w:val="24"/>
                <w:szCs w:val="24"/>
              </w:rPr>
              <w:lastRenderedPageBreak/>
              <w:t>volume celular, contagem de</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lastRenderedPageBreak/>
              <w:t>Unidade</w:t>
            </w:r>
          </w:p>
        </w:tc>
        <w:tc>
          <w:tcPr>
            <w:tcW w:w="16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30</w:t>
            </w:r>
          </w:p>
        </w:tc>
        <w:tc>
          <w:tcPr>
            <w:tcW w:w="1406"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 </w:t>
            </w:r>
          </w:p>
        </w:tc>
        <w:tc>
          <w:tcPr>
            <w:tcW w:w="1256"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 </w:t>
            </w:r>
          </w:p>
        </w:tc>
      </w:tr>
      <w:tr w:rsidR="00C60AED" w:rsidRPr="00997A59" w:rsidTr="00F95766">
        <w:trPr>
          <w:trHeight w:val="315"/>
        </w:trPr>
        <w:tc>
          <w:tcPr>
            <w:tcW w:w="714"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nil"/>
              <w:bottom w:val="nil"/>
              <w:right w:val="single" w:sz="4" w:space="0" w:color="000000"/>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 xml:space="preserve">hemácias, plaquetas e leucócitos em aparelhos automáticos, para analisador hemato- </w:t>
            </w:r>
          </w:p>
        </w:tc>
        <w:tc>
          <w:tcPr>
            <w:tcW w:w="1276"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40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25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trHeight w:val="300"/>
        </w:trPr>
        <w:tc>
          <w:tcPr>
            <w:tcW w:w="714"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nil"/>
              <w:bottom w:val="single" w:sz="4" w:space="0" w:color="auto"/>
              <w:right w:val="single" w:sz="4" w:space="0" w:color="000000"/>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lógico Mindray mod. BC 2300.</w:t>
            </w:r>
          </w:p>
        </w:tc>
        <w:tc>
          <w:tcPr>
            <w:tcW w:w="1276"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40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25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trHeight w:val="300"/>
        </w:trPr>
        <w:tc>
          <w:tcPr>
            <w:tcW w:w="714" w:type="dxa"/>
            <w:vMerge w:val="restart"/>
            <w:tcBorders>
              <w:top w:val="nil"/>
              <w:left w:val="single" w:sz="4" w:space="0" w:color="auto"/>
              <w:bottom w:val="single" w:sz="4" w:space="0" w:color="000000"/>
              <w:right w:val="nil"/>
            </w:tcBorders>
            <w:shd w:val="clear" w:color="auto" w:fill="auto"/>
            <w:noWrap/>
            <w:vAlign w:val="center"/>
            <w:hideMark/>
          </w:tcPr>
          <w:p w:rsidR="00C60AED" w:rsidRPr="00C60AED" w:rsidRDefault="00C60AED"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single" w:sz="4" w:space="0" w:color="auto"/>
              <w:bottom w:val="nil"/>
              <w:right w:val="single" w:sz="4" w:space="0" w:color="000000"/>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Solução hemolisante ultra-rápida para determinação da hemoglobina e contagem diferen-</w:t>
            </w:r>
          </w:p>
        </w:tc>
        <w:tc>
          <w:tcPr>
            <w:tcW w:w="1276" w:type="dxa"/>
            <w:vMerge w:val="restart"/>
            <w:tcBorders>
              <w:top w:val="nil"/>
              <w:left w:val="nil"/>
              <w:bottom w:val="single" w:sz="4" w:space="0" w:color="000000"/>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Unidade</w:t>
            </w:r>
          </w:p>
        </w:tc>
        <w:tc>
          <w:tcPr>
            <w:tcW w:w="16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12</w:t>
            </w:r>
          </w:p>
        </w:tc>
        <w:tc>
          <w:tcPr>
            <w:tcW w:w="1406"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 </w:t>
            </w:r>
          </w:p>
        </w:tc>
        <w:tc>
          <w:tcPr>
            <w:tcW w:w="1256"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 </w:t>
            </w:r>
          </w:p>
        </w:tc>
      </w:tr>
      <w:tr w:rsidR="00C60AED" w:rsidRPr="00997A59" w:rsidTr="00F95766">
        <w:trPr>
          <w:trHeight w:val="300"/>
        </w:trPr>
        <w:tc>
          <w:tcPr>
            <w:tcW w:w="714" w:type="dxa"/>
            <w:vMerge/>
            <w:tcBorders>
              <w:top w:val="nil"/>
              <w:left w:val="single" w:sz="4" w:space="0" w:color="auto"/>
              <w:bottom w:val="single" w:sz="4" w:space="0" w:color="000000"/>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nil"/>
              <w:right w:val="single" w:sz="4" w:space="0" w:color="000000"/>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 xml:space="preserve">cial de leucócitos em aparelhos automáticos, para analisador hematológico Mindray </w:t>
            </w:r>
          </w:p>
        </w:tc>
        <w:tc>
          <w:tcPr>
            <w:tcW w:w="1276" w:type="dxa"/>
            <w:vMerge/>
            <w:tcBorders>
              <w:top w:val="nil"/>
              <w:left w:val="nil"/>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40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25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trHeight w:val="315"/>
        </w:trPr>
        <w:tc>
          <w:tcPr>
            <w:tcW w:w="714" w:type="dxa"/>
            <w:vMerge/>
            <w:tcBorders>
              <w:top w:val="nil"/>
              <w:left w:val="single" w:sz="4" w:space="0" w:color="auto"/>
              <w:bottom w:val="single" w:sz="4" w:space="0" w:color="000000"/>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single" w:sz="4" w:space="0" w:color="auto"/>
              <w:right w:val="single" w:sz="4" w:space="0" w:color="000000"/>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mod. BC 2300.</w:t>
            </w:r>
          </w:p>
        </w:tc>
        <w:tc>
          <w:tcPr>
            <w:tcW w:w="1276" w:type="dxa"/>
            <w:vMerge/>
            <w:tcBorders>
              <w:top w:val="nil"/>
              <w:left w:val="nil"/>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40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25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trHeight w:val="30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60AED" w:rsidRPr="00C60AED" w:rsidRDefault="00C60AED"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Termômetro para estufa</w:t>
            </w:r>
          </w:p>
        </w:tc>
        <w:tc>
          <w:tcPr>
            <w:tcW w:w="1276"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Unidade</w:t>
            </w:r>
          </w:p>
        </w:tc>
        <w:tc>
          <w:tcPr>
            <w:tcW w:w="1657"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2</w:t>
            </w:r>
          </w:p>
        </w:tc>
        <w:tc>
          <w:tcPr>
            <w:tcW w:w="1406" w:type="dxa"/>
            <w:gridSpan w:val="2"/>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c>
          <w:tcPr>
            <w:tcW w:w="1256" w:type="dxa"/>
            <w:gridSpan w:val="2"/>
            <w:tcBorders>
              <w:top w:val="nil"/>
              <w:left w:val="nil"/>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r>
      <w:tr w:rsidR="00C60AED" w:rsidRPr="00997A59" w:rsidTr="00F95766">
        <w:trPr>
          <w:trHeight w:val="31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60AED" w:rsidRPr="00C60AED" w:rsidRDefault="00C60AED"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Teste Rápido deTroponina Imunocromatográfico com 50 testes</w:t>
            </w:r>
          </w:p>
        </w:tc>
        <w:tc>
          <w:tcPr>
            <w:tcW w:w="1276"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Caixa</w:t>
            </w:r>
          </w:p>
        </w:tc>
        <w:tc>
          <w:tcPr>
            <w:tcW w:w="1657"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5</w:t>
            </w:r>
          </w:p>
        </w:tc>
        <w:tc>
          <w:tcPr>
            <w:tcW w:w="1406" w:type="dxa"/>
            <w:gridSpan w:val="2"/>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c>
          <w:tcPr>
            <w:tcW w:w="1256" w:type="dxa"/>
            <w:gridSpan w:val="2"/>
            <w:tcBorders>
              <w:top w:val="nil"/>
              <w:left w:val="nil"/>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r>
      <w:tr w:rsidR="00C60AED" w:rsidRPr="00997A59" w:rsidTr="00F95766">
        <w:trPr>
          <w:trHeight w:val="30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60AED" w:rsidRPr="00C60AED" w:rsidRDefault="00C60AED"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nil"/>
              <w:bottom w:val="single" w:sz="4" w:space="0" w:color="auto"/>
              <w:right w:val="single" w:sz="4" w:space="0" w:color="000000"/>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Tubos cônicos para uroanálise de 10 ml plástico</w:t>
            </w:r>
          </w:p>
        </w:tc>
        <w:tc>
          <w:tcPr>
            <w:tcW w:w="1276"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Unidade</w:t>
            </w:r>
          </w:p>
        </w:tc>
        <w:tc>
          <w:tcPr>
            <w:tcW w:w="1657"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2.000</w:t>
            </w:r>
          </w:p>
        </w:tc>
        <w:tc>
          <w:tcPr>
            <w:tcW w:w="1406" w:type="dxa"/>
            <w:gridSpan w:val="2"/>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c>
          <w:tcPr>
            <w:tcW w:w="1256" w:type="dxa"/>
            <w:gridSpan w:val="2"/>
            <w:tcBorders>
              <w:top w:val="nil"/>
              <w:left w:val="nil"/>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r>
      <w:tr w:rsidR="00C60AED" w:rsidRPr="00997A59" w:rsidTr="00F95766">
        <w:trPr>
          <w:trHeight w:val="300"/>
        </w:trPr>
        <w:tc>
          <w:tcPr>
            <w:tcW w:w="7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0AED" w:rsidRPr="00C60AED" w:rsidRDefault="00C60AED"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nil"/>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 xml:space="preserve">Tubo criogênico não estéril de 1 ml, com tampa de rosca externa, sem anel de vedação, </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Pacote</w:t>
            </w:r>
          </w:p>
        </w:tc>
        <w:tc>
          <w:tcPr>
            <w:tcW w:w="16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10</w:t>
            </w:r>
          </w:p>
        </w:tc>
        <w:tc>
          <w:tcPr>
            <w:tcW w:w="1406"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 </w:t>
            </w:r>
          </w:p>
        </w:tc>
        <w:tc>
          <w:tcPr>
            <w:tcW w:w="1256"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 </w:t>
            </w:r>
          </w:p>
        </w:tc>
      </w:tr>
      <w:tr w:rsidR="00C60AED" w:rsidRPr="00997A59" w:rsidTr="00F95766">
        <w:trPr>
          <w:trHeight w:val="300"/>
        </w:trPr>
        <w:tc>
          <w:tcPr>
            <w:tcW w:w="714"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nil"/>
              <w:bottom w:val="single" w:sz="4" w:space="0" w:color="auto"/>
              <w:right w:val="nil"/>
            </w:tcBorders>
            <w:shd w:val="clear" w:color="auto" w:fill="auto"/>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graduado e com embalagem de 500 unidades.</w:t>
            </w:r>
          </w:p>
        </w:tc>
        <w:tc>
          <w:tcPr>
            <w:tcW w:w="1276"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single" w:sz="4" w:space="0" w:color="000000"/>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40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25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trHeight w:val="27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60AED" w:rsidRPr="00C60AED" w:rsidRDefault="00C60AED"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nil"/>
              <w:bottom w:val="single" w:sz="4" w:space="0" w:color="auto"/>
              <w:right w:val="single" w:sz="4" w:space="0" w:color="000000"/>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Tubos de ensaio plástico c/ tampa e etiqueta de 12 x 75 mm c/ 5 ml de capacidade</w:t>
            </w:r>
          </w:p>
        </w:tc>
        <w:tc>
          <w:tcPr>
            <w:tcW w:w="1276"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Unidade</w:t>
            </w:r>
          </w:p>
        </w:tc>
        <w:tc>
          <w:tcPr>
            <w:tcW w:w="1657"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5.000</w:t>
            </w:r>
          </w:p>
        </w:tc>
        <w:tc>
          <w:tcPr>
            <w:tcW w:w="1406" w:type="dxa"/>
            <w:gridSpan w:val="2"/>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c>
          <w:tcPr>
            <w:tcW w:w="1256" w:type="dxa"/>
            <w:gridSpan w:val="2"/>
            <w:tcBorders>
              <w:top w:val="nil"/>
              <w:left w:val="nil"/>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r>
      <w:tr w:rsidR="00C60AED" w:rsidRPr="00997A59" w:rsidTr="00F95766">
        <w:trPr>
          <w:trHeight w:val="315"/>
        </w:trPr>
        <w:tc>
          <w:tcPr>
            <w:tcW w:w="714" w:type="dxa"/>
            <w:vMerge w:val="restart"/>
            <w:tcBorders>
              <w:top w:val="nil"/>
              <w:left w:val="single" w:sz="4" w:space="0" w:color="auto"/>
              <w:bottom w:val="single" w:sz="4" w:space="0" w:color="auto"/>
              <w:right w:val="nil"/>
            </w:tcBorders>
            <w:shd w:val="clear" w:color="auto" w:fill="auto"/>
            <w:noWrap/>
            <w:vAlign w:val="center"/>
            <w:hideMark/>
          </w:tcPr>
          <w:p w:rsidR="00C60AED" w:rsidRPr="00C60AED" w:rsidRDefault="00C60AED"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 xml:space="preserve">Tubos à vácuo plástico estéril e descartável c/ tampa hemogard c/ fluoreto de sódio e EDTA, </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Caixa</w:t>
            </w:r>
          </w:p>
        </w:tc>
        <w:tc>
          <w:tcPr>
            <w:tcW w:w="16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10</w:t>
            </w:r>
          </w:p>
        </w:tc>
        <w:tc>
          <w:tcPr>
            <w:tcW w:w="1406"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 </w:t>
            </w:r>
          </w:p>
        </w:tc>
        <w:tc>
          <w:tcPr>
            <w:tcW w:w="1256"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 </w:t>
            </w:r>
          </w:p>
        </w:tc>
      </w:tr>
      <w:tr w:rsidR="00C60AED" w:rsidRPr="00997A59" w:rsidTr="00F95766">
        <w:trPr>
          <w:trHeight w:val="315"/>
        </w:trPr>
        <w:tc>
          <w:tcPr>
            <w:tcW w:w="714" w:type="dxa"/>
            <w:vMerge/>
            <w:tcBorders>
              <w:top w:val="nil"/>
              <w:left w:val="single" w:sz="4" w:space="0" w:color="auto"/>
              <w:bottom w:val="single" w:sz="4" w:space="0" w:color="auto"/>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single" w:sz="4" w:space="0" w:color="auto"/>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rolha cinza de 5 ml.</w:t>
            </w:r>
          </w:p>
        </w:tc>
        <w:tc>
          <w:tcPr>
            <w:tcW w:w="1276" w:type="dxa"/>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40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25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trHeight w:val="315"/>
        </w:trPr>
        <w:tc>
          <w:tcPr>
            <w:tcW w:w="714" w:type="dxa"/>
            <w:tcBorders>
              <w:top w:val="nil"/>
              <w:left w:val="single" w:sz="4" w:space="0" w:color="auto"/>
              <w:bottom w:val="single" w:sz="4" w:space="0" w:color="auto"/>
              <w:right w:val="nil"/>
            </w:tcBorders>
            <w:shd w:val="clear" w:color="auto" w:fill="auto"/>
            <w:noWrap/>
            <w:vAlign w:val="center"/>
            <w:hideMark/>
          </w:tcPr>
          <w:p w:rsidR="00C60AED" w:rsidRPr="00C60AED" w:rsidRDefault="00C60AED"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Tubos à vácuo plástico estéril e descartável c/ tampa hemogard c/ EDTA, rolha roxa de 4 ml</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Caixa</w:t>
            </w:r>
          </w:p>
        </w:tc>
        <w:tc>
          <w:tcPr>
            <w:tcW w:w="1657"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50</w:t>
            </w:r>
          </w:p>
        </w:tc>
        <w:tc>
          <w:tcPr>
            <w:tcW w:w="1406" w:type="dxa"/>
            <w:gridSpan w:val="2"/>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c>
          <w:tcPr>
            <w:tcW w:w="1256" w:type="dxa"/>
            <w:gridSpan w:val="2"/>
            <w:tcBorders>
              <w:top w:val="nil"/>
              <w:left w:val="nil"/>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r>
      <w:tr w:rsidR="00C60AED" w:rsidRPr="00997A59" w:rsidTr="00F95766">
        <w:trPr>
          <w:trHeight w:val="315"/>
        </w:trPr>
        <w:tc>
          <w:tcPr>
            <w:tcW w:w="714" w:type="dxa"/>
            <w:vMerge w:val="restart"/>
            <w:tcBorders>
              <w:top w:val="nil"/>
              <w:left w:val="single" w:sz="4" w:space="0" w:color="auto"/>
              <w:bottom w:val="single" w:sz="4" w:space="0" w:color="auto"/>
              <w:right w:val="nil"/>
            </w:tcBorders>
            <w:shd w:val="clear" w:color="auto" w:fill="auto"/>
            <w:noWrap/>
            <w:vAlign w:val="center"/>
            <w:hideMark/>
          </w:tcPr>
          <w:p w:rsidR="00C60AED" w:rsidRPr="00C60AED" w:rsidRDefault="00C60AED"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 xml:space="preserve">Tubos à vácuo plástico estéril e descartável c/ tampa hemogard siliconizado, seco e com </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Caixa</w:t>
            </w:r>
          </w:p>
        </w:tc>
        <w:tc>
          <w:tcPr>
            <w:tcW w:w="165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20</w:t>
            </w:r>
          </w:p>
        </w:tc>
        <w:tc>
          <w:tcPr>
            <w:tcW w:w="1406"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 </w:t>
            </w:r>
          </w:p>
        </w:tc>
        <w:tc>
          <w:tcPr>
            <w:tcW w:w="1256"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 </w:t>
            </w:r>
          </w:p>
        </w:tc>
      </w:tr>
      <w:tr w:rsidR="00C60AED" w:rsidRPr="00997A59" w:rsidTr="00F95766">
        <w:trPr>
          <w:trHeight w:val="315"/>
        </w:trPr>
        <w:tc>
          <w:tcPr>
            <w:tcW w:w="714" w:type="dxa"/>
            <w:vMerge/>
            <w:tcBorders>
              <w:top w:val="nil"/>
              <w:left w:val="single" w:sz="4" w:space="0" w:color="auto"/>
              <w:bottom w:val="single" w:sz="4" w:space="0" w:color="auto"/>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single" w:sz="4" w:space="0" w:color="auto"/>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antivador de coagulo rolha vermelha de 8,5 ml.</w:t>
            </w:r>
          </w:p>
        </w:tc>
        <w:tc>
          <w:tcPr>
            <w:tcW w:w="1276" w:type="dxa"/>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40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25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trHeight w:val="315"/>
        </w:trPr>
        <w:tc>
          <w:tcPr>
            <w:tcW w:w="714" w:type="dxa"/>
            <w:vMerge w:val="restart"/>
            <w:tcBorders>
              <w:top w:val="nil"/>
              <w:left w:val="single" w:sz="4" w:space="0" w:color="auto"/>
              <w:bottom w:val="single" w:sz="4" w:space="0" w:color="auto"/>
              <w:right w:val="nil"/>
            </w:tcBorders>
            <w:shd w:val="clear" w:color="auto" w:fill="auto"/>
            <w:noWrap/>
            <w:vAlign w:val="center"/>
            <w:hideMark/>
          </w:tcPr>
          <w:p w:rsidR="00C60AED" w:rsidRPr="00C60AED" w:rsidRDefault="00C60AED"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 xml:space="preserve">Tubos à vácuo plástico estéril e descartável c/ tampa hemogard c/ gel separador e ativador </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Caixa</w:t>
            </w:r>
          </w:p>
        </w:tc>
        <w:tc>
          <w:tcPr>
            <w:tcW w:w="16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40</w:t>
            </w:r>
          </w:p>
        </w:tc>
        <w:tc>
          <w:tcPr>
            <w:tcW w:w="1406"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 </w:t>
            </w:r>
          </w:p>
        </w:tc>
        <w:tc>
          <w:tcPr>
            <w:tcW w:w="1256"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 </w:t>
            </w:r>
          </w:p>
        </w:tc>
      </w:tr>
      <w:tr w:rsidR="00C60AED" w:rsidRPr="00997A59" w:rsidTr="00F95766">
        <w:trPr>
          <w:trHeight w:val="315"/>
        </w:trPr>
        <w:tc>
          <w:tcPr>
            <w:tcW w:w="714" w:type="dxa"/>
            <w:vMerge/>
            <w:tcBorders>
              <w:top w:val="nil"/>
              <w:left w:val="single" w:sz="4" w:space="0" w:color="auto"/>
              <w:bottom w:val="single" w:sz="4" w:space="0" w:color="auto"/>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single" w:sz="4" w:space="0" w:color="auto"/>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de coágulo, rolha amarela de 4 ml.</w:t>
            </w:r>
          </w:p>
        </w:tc>
        <w:tc>
          <w:tcPr>
            <w:tcW w:w="1276" w:type="dxa"/>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40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25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trHeight w:val="315"/>
        </w:trPr>
        <w:tc>
          <w:tcPr>
            <w:tcW w:w="714" w:type="dxa"/>
            <w:vMerge w:val="restart"/>
            <w:tcBorders>
              <w:top w:val="nil"/>
              <w:left w:val="single" w:sz="4" w:space="0" w:color="auto"/>
              <w:bottom w:val="single" w:sz="4" w:space="0" w:color="auto"/>
              <w:right w:val="nil"/>
            </w:tcBorders>
            <w:shd w:val="clear" w:color="auto" w:fill="auto"/>
            <w:noWrap/>
            <w:vAlign w:val="center"/>
            <w:hideMark/>
          </w:tcPr>
          <w:p w:rsidR="00C60AED" w:rsidRPr="00C60AED" w:rsidRDefault="00C60AED"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 xml:space="preserve">Tubos à vácuo plástico estéril e descartável c/ tampa hemogard c/ gel separador e ativador </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Caixa</w:t>
            </w:r>
          </w:p>
        </w:tc>
        <w:tc>
          <w:tcPr>
            <w:tcW w:w="16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60</w:t>
            </w:r>
          </w:p>
        </w:tc>
        <w:tc>
          <w:tcPr>
            <w:tcW w:w="1406"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 </w:t>
            </w:r>
          </w:p>
        </w:tc>
        <w:tc>
          <w:tcPr>
            <w:tcW w:w="1256"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 </w:t>
            </w:r>
          </w:p>
        </w:tc>
      </w:tr>
      <w:tr w:rsidR="00C60AED" w:rsidRPr="00997A59" w:rsidTr="00F95766">
        <w:trPr>
          <w:trHeight w:val="315"/>
        </w:trPr>
        <w:tc>
          <w:tcPr>
            <w:tcW w:w="714" w:type="dxa"/>
            <w:vMerge/>
            <w:tcBorders>
              <w:top w:val="nil"/>
              <w:left w:val="single" w:sz="4" w:space="0" w:color="auto"/>
              <w:bottom w:val="single" w:sz="4" w:space="0" w:color="auto"/>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single" w:sz="4" w:space="0" w:color="auto"/>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de coágulo, rolha amarela de 8,5 ml.</w:t>
            </w:r>
          </w:p>
        </w:tc>
        <w:tc>
          <w:tcPr>
            <w:tcW w:w="1276" w:type="dxa"/>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40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25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trHeight w:val="315"/>
        </w:trPr>
        <w:tc>
          <w:tcPr>
            <w:tcW w:w="714" w:type="dxa"/>
            <w:vMerge w:val="restart"/>
            <w:tcBorders>
              <w:top w:val="nil"/>
              <w:left w:val="single" w:sz="4" w:space="0" w:color="auto"/>
              <w:bottom w:val="single" w:sz="4" w:space="0" w:color="auto"/>
              <w:right w:val="nil"/>
            </w:tcBorders>
            <w:shd w:val="clear" w:color="auto" w:fill="auto"/>
            <w:noWrap/>
            <w:vAlign w:val="center"/>
            <w:hideMark/>
          </w:tcPr>
          <w:p w:rsidR="00C60AED" w:rsidRPr="00C60AED" w:rsidRDefault="00C60AED"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single" w:sz="4" w:space="0" w:color="auto"/>
              <w:bottom w:val="nil"/>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Tubos à vácuo plástico estéril e descartável c/ tampa hemogard c/ citrato de sódio, rolha azul</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Caixa</w:t>
            </w:r>
          </w:p>
        </w:tc>
        <w:tc>
          <w:tcPr>
            <w:tcW w:w="16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5</w:t>
            </w:r>
          </w:p>
        </w:tc>
        <w:tc>
          <w:tcPr>
            <w:tcW w:w="1406"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 </w:t>
            </w:r>
          </w:p>
        </w:tc>
        <w:tc>
          <w:tcPr>
            <w:tcW w:w="1256"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 </w:t>
            </w:r>
          </w:p>
        </w:tc>
      </w:tr>
      <w:tr w:rsidR="00C60AED" w:rsidRPr="00997A59" w:rsidTr="00F95766">
        <w:trPr>
          <w:trHeight w:val="315"/>
        </w:trPr>
        <w:tc>
          <w:tcPr>
            <w:tcW w:w="714" w:type="dxa"/>
            <w:vMerge/>
            <w:tcBorders>
              <w:top w:val="nil"/>
              <w:left w:val="single" w:sz="4" w:space="0" w:color="auto"/>
              <w:bottom w:val="single" w:sz="4" w:space="0" w:color="auto"/>
              <w:right w:val="nil"/>
            </w:tcBorders>
            <w:vAlign w:val="center"/>
            <w:hideMark/>
          </w:tcPr>
          <w:p w:rsidR="00C60AED" w:rsidRPr="00C60AED" w:rsidRDefault="00C60AED" w:rsidP="00C60AED">
            <w:pPr>
              <w:pStyle w:val="PargrafodaLista"/>
              <w:numPr>
                <w:ilvl w:val="0"/>
                <w:numId w:val="6"/>
              </w:numPr>
              <w:ind w:left="0" w:firstLine="0"/>
              <w:rPr>
                <w:rFonts w:ascii="Century Gothic" w:hAnsi="Century Gothic" w:cs="Arial"/>
                <w:bCs/>
                <w:sz w:val="24"/>
                <w:szCs w:val="24"/>
              </w:rPr>
            </w:pPr>
          </w:p>
        </w:tc>
        <w:tc>
          <w:tcPr>
            <w:tcW w:w="4394" w:type="dxa"/>
            <w:tcBorders>
              <w:top w:val="nil"/>
              <w:left w:val="single" w:sz="4" w:space="0" w:color="auto"/>
              <w:bottom w:val="single" w:sz="4" w:space="0" w:color="auto"/>
              <w:right w:val="nil"/>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de 4,5 ml.</w:t>
            </w:r>
          </w:p>
        </w:tc>
        <w:tc>
          <w:tcPr>
            <w:tcW w:w="1276" w:type="dxa"/>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657" w:type="dxa"/>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40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c>
          <w:tcPr>
            <w:tcW w:w="1256" w:type="dxa"/>
            <w:gridSpan w:val="2"/>
            <w:vMerge/>
            <w:tcBorders>
              <w:top w:val="nil"/>
              <w:left w:val="single" w:sz="4" w:space="0" w:color="auto"/>
              <w:bottom w:val="single" w:sz="4" w:space="0" w:color="auto"/>
              <w:right w:val="single" w:sz="4" w:space="0" w:color="auto"/>
            </w:tcBorders>
            <w:vAlign w:val="center"/>
            <w:hideMark/>
          </w:tcPr>
          <w:p w:rsidR="00C60AED" w:rsidRPr="00C60AED" w:rsidRDefault="00C60AED" w:rsidP="00C60AED">
            <w:pPr>
              <w:rPr>
                <w:rFonts w:ascii="Century Gothic" w:hAnsi="Century Gothic" w:cs="Arial"/>
                <w:sz w:val="24"/>
                <w:szCs w:val="24"/>
              </w:rPr>
            </w:pPr>
          </w:p>
        </w:tc>
      </w:tr>
      <w:tr w:rsidR="00C60AED" w:rsidRPr="00997A59" w:rsidTr="00F95766">
        <w:trPr>
          <w:trHeight w:val="31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60AED" w:rsidRPr="00C60AED" w:rsidRDefault="00C60AED"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Vidros p/ análise 12 x 75 mm de vidro (tubo de ensaio)</w:t>
            </w:r>
          </w:p>
        </w:tc>
        <w:tc>
          <w:tcPr>
            <w:tcW w:w="1276"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Unidade</w:t>
            </w:r>
          </w:p>
        </w:tc>
        <w:tc>
          <w:tcPr>
            <w:tcW w:w="1657"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10.000</w:t>
            </w:r>
          </w:p>
        </w:tc>
        <w:tc>
          <w:tcPr>
            <w:tcW w:w="1406" w:type="dxa"/>
            <w:gridSpan w:val="2"/>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c>
          <w:tcPr>
            <w:tcW w:w="1256" w:type="dxa"/>
            <w:gridSpan w:val="2"/>
            <w:tcBorders>
              <w:top w:val="nil"/>
              <w:left w:val="nil"/>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r>
      <w:tr w:rsidR="00C60AED" w:rsidRPr="00997A59" w:rsidTr="00F95766">
        <w:trPr>
          <w:trHeight w:val="30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60AED" w:rsidRPr="00C60AED" w:rsidRDefault="00C60AED" w:rsidP="00C60AED">
            <w:pPr>
              <w:pStyle w:val="PargrafodaLista"/>
              <w:numPr>
                <w:ilvl w:val="0"/>
                <w:numId w:val="6"/>
              </w:numPr>
              <w:ind w:left="0" w:firstLine="0"/>
              <w:jc w:val="center"/>
              <w:rPr>
                <w:rFonts w:ascii="Century Gothic" w:hAnsi="Century Gothic" w:cs="Arial"/>
                <w:bCs/>
                <w:sz w:val="24"/>
                <w:szCs w:val="24"/>
              </w:rPr>
            </w:pP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C60AED" w:rsidRPr="00C60AED" w:rsidRDefault="00C60AED" w:rsidP="00C60AED">
            <w:pPr>
              <w:jc w:val="both"/>
              <w:rPr>
                <w:rFonts w:ascii="Century Gothic" w:hAnsi="Century Gothic" w:cs="Arial"/>
                <w:sz w:val="24"/>
                <w:szCs w:val="24"/>
              </w:rPr>
            </w:pPr>
            <w:r w:rsidRPr="00C60AED">
              <w:rPr>
                <w:rFonts w:ascii="Century Gothic" w:hAnsi="Century Gothic" w:cs="Arial"/>
                <w:sz w:val="24"/>
                <w:szCs w:val="24"/>
              </w:rPr>
              <w:t>Vidros p/ análise 16 x 150 mm de vidro (tubo de ensaio)</w:t>
            </w:r>
          </w:p>
        </w:tc>
        <w:tc>
          <w:tcPr>
            <w:tcW w:w="1276"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Unidade</w:t>
            </w:r>
          </w:p>
        </w:tc>
        <w:tc>
          <w:tcPr>
            <w:tcW w:w="1657" w:type="dxa"/>
            <w:tcBorders>
              <w:top w:val="nil"/>
              <w:left w:val="nil"/>
              <w:bottom w:val="single" w:sz="4" w:space="0" w:color="auto"/>
              <w:right w:val="single" w:sz="4" w:space="0" w:color="auto"/>
            </w:tcBorders>
            <w:shd w:val="clear" w:color="auto" w:fill="auto"/>
            <w:noWrap/>
            <w:vAlign w:val="center"/>
            <w:hideMark/>
          </w:tcPr>
          <w:p w:rsidR="00C60AED" w:rsidRPr="00C60AED" w:rsidRDefault="00C60AED" w:rsidP="00C60AED">
            <w:pPr>
              <w:jc w:val="center"/>
              <w:rPr>
                <w:rFonts w:ascii="Century Gothic" w:hAnsi="Century Gothic" w:cs="Arial"/>
                <w:sz w:val="24"/>
                <w:szCs w:val="24"/>
              </w:rPr>
            </w:pPr>
            <w:r w:rsidRPr="00C60AED">
              <w:rPr>
                <w:rFonts w:ascii="Century Gothic" w:hAnsi="Century Gothic" w:cs="Arial"/>
                <w:sz w:val="24"/>
                <w:szCs w:val="24"/>
              </w:rPr>
              <w:t>50</w:t>
            </w:r>
          </w:p>
        </w:tc>
        <w:tc>
          <w:tcPr>
            <w:tcW w:w="1406" w:type="dxa"/>
            <w:gridSpan w:val="2"/>
            <w:tcBorders>
              <w:top w:val="nil"/>
              <w:left w:val="single" w:sz="4" w:space="0" w:color="auto"/>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c>
          <w:tcPr>
            <w:tcW w:w="1256" w:type="dxa"/>
            <w:gridSpan w:val="2"/>
            <w:tcBorders>
              <w:top w:val="nil"/>
              <w:left w:val="nil"/>
              <w:bottom w:val="single" w:sz="4" w:space="0" w:color="auto"/>
              <w:right w:val="single" w:sz="4" w:space="0" w:color="auto"/>
            </w:tcBorders>
            <w:shd w:val="clear" w:color="auto" w:fill="auto"/>
            <w:noWrap/>
            <w:vAlign w:val="bottom"/>
            <w:hideMark/>
          </w:tcPr>
          <w:p w:rsidR="00C60AED" w:rsidRPr="00C60AED" w:rsidRDefault="00C60AED" w:rsidP="00C60AED">
            <w:pPr>
              <w:rPr>
                <w:rFonts w:ascii="Century Gothic" w:hAnsi="Century Gothic" w:cs="Arial"/>
                <w:sz w:val="24"/>
                <w:szCs w:val="24"/>
              </w:rPr>
            </w:pPr>
            <w:r w:rsidRPr="00C60AED">
              <w:rPr>
                <w:rFonts w:ascii="Century Gothic" w:hAnsi="Century Gothic" w:cs="Arial"/>
                <w:sz w:val="24"/>
                <w:szCs w:val="24"/>
              </w:rPr>
              <w:t> </w:t>
            </w:r>
          </w:p>
        </w:tc>
      </w:tr>
    </w:tbl>
    <w:p w:rsidR="000C6F94" w:rsidRPr="00145DF5" w:rsidRDefault="00997A59" w:rsidP="00BE70D4">
      <w:pPr>
        <w:autoSpaceDE w:val="0"/>
        <w:autoSpaceDN w:val="0"/>
        <w:adjustRightInd w:val="0"/>
        <w:jc w:val="both"/>
        <w:rPr>
          <w:rFonts w:ascii="Century Gothic" w:hAnsi="Century Gothic" w:cs="Arial"/>
          <w:b/>
          <w:bCs/>
          <w:sz w:val="28"/>
          <w:szCs w:val="28"/>
        </w:rPr>
      </w:pPr>
      <w:r>
        <w:rPr>
          <w:rFonts w:ascii="Century Gothic" w:hAnsi="Century Gothic" w:cs="Arial"/>
          <w:sz w:val="28"/>
          <w:szCs w:val="28"/>
        </w:rPr>
        <w:br w:type="textWrapping" w:clear="all"/>
      </w:r>
      <w:r w:rsidR="00695290" w:rsidRPr="00145DF5">
        <w:rPr>
          <w:rFonts w:ascii="Century Gothic" w:hAnsi="Century Gothic" w:cs="Arial"/>
          <w:b/>
          <w:bCs/>
          <w:sz w:val="28"/>
          <w:szCs w:val="28"/>
        </w:rPr>
        <w:t xml:space="preserve">MARCA DOS </w:t>
      </w:r>
      <w:r w:rsidR="00C60AED">
        <w:rPr>
          <w:rFonts w:ascii="Century Gothic" w:hAnsi="Century Gothic" w:cs="Arial"/>
          <w:b/>
          <w:bCs/>
          <w:sz w:val="28"/>
          <w:szCs w:val="28"/>
        </w:rPr>
        <w:t>MATERIAIS</w:t>
      </w:r>
      <w:r w:rsidR="008476C5">
        <w:rPr>
          <w:rFonts w:ascii="Century Gothic" w:hAnsi="Century Gothic" w:cs="Arial"/>
          <w:b/>
          <w:bCs/>
          <w:sz w:val="28"/>
          <w:szCs w:val="28"/>
        </w:rPr>
        <w:t xml:space="preserve"> </w:t>
      </w:r>
      <w:r w:rsidR="00695290" w:rsidRPr="00145DF5">
        <w:rPr>
          <w:rFonts w:ascii="Century Gothic" w:hAnsi="Century Gothic" w:cs="Arial"/>
          <w:b/>
          <w:bCs/>
          <w:sz w:val="28"/>
          <w:szCs w:val="28"/>
        </w:rPr>
        <w:t xml:space="preserve">COTADOS: </w:t>
      </w:r>
    </w:p>
    <w:p w:rsidR="000C6F94" w:rsidRPr="00145DF5" w:rsidRDefault="000C6F94" w:rsidP="00BE70D4">
      <w:pPr>
        <w:autoSpaceDE w:val="0"/>
        <w:autoSpaceDN w:val="0"/>
        <w:adjustRightInd w:val="0"/>
        <w:jc w:val="both"/>
        <w:rPr>
          <w:rFonts w:ascii="Century Gothic" w:hAnsi="Century Gothic" w:cs="Arial"/>
          <w:sz w:val="28"/>
          <w:szCs w:val="28"/>
        </w:rPr>
      </w:pPr>
    </w:p>
    <w:p w:rsidR="000C6F94" w:rsidRPr="00145DF5" w:rsidRDefault="000C6F94"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PRAZO DE ENTREGA: </w:t>
      </w:r>
      <w:r w:rsidRPr="00145DF5">
        <w:rPr>
          <w:rFonts w:ascii="Century Gothic" w:hAnsi="Century Gothic" w:cs="Arial"/>
          <w:sz w:val="28"/>
          <w:szCs w:val="28"/>
        </w:rPr>
        <w:t>________ dias</w:t>
      </w:r>
      <w:r w:rsidRPr="00145DF5">
        <w:rPr>
          <w:rFonts w:ascii="Century Gothic" w:hAnsi="Century Gothic" w:cs="Arial"/>
          <w:b/>
          <w:bCs/>
          <w:sz w:val="28"/>
          <w:szCs w:val="28"/>
        </w:rPr>
        <w:t xml:space="preserve">. </w:t>
      </w:r>
      <w:r w:rsidRPr="00145DF5">
        <w:rPr>
          <w:rFonts w:ascii="Century Gothic" w:hAnsi="Century Gothic" w:cs="Arial"/>
          <w:sz w:val="28"/>
          <w:szCs w:val="28"/>
        </w:rPr>
        <w:t xml:space="preserve">(máximo de </w:t>
      </w:r>
      <w:r w:rsidR="00145DF5">
        <w:rPr>
          <w:rFonts w:ascii="Century Gothic" w:hAnsi="Century Gothic" w:cs="Arial"/>
          <w:b/>
          <w:bCs/>
          <w:sz w:val="28"/>
          <w:szCs w:val="28"/>
        </w:rPr>
        <w:t>05</w:t>
      </w:r>
      <w:r w:rsidRPr="00145DF5">
        <w:rPr>
          <w:rFonts w:ascii="Century Gothic" w:hAnsi="Century Gothic" w:cs="Arial"/>
          <w:b/>
          <w:bCs/>
          <w:sz w:val="28"/>
          <w:szCs w:val="28"/>
        </w:rPr>
        <w:t xml:space="preserve"> (</w:t>
      </w:r>
      <w:r w:rsidR="00145DF5">
        <w:rPr>
          <w:rFonts w:ascii="Century Gothic" w:hAnsi="Century Gothic" w:cs="Arial"/>
          <w:b/>
          <w:bCs/>
          <w:sz w:val="28"/>
          <w:szCs w:val="28"/>
        </w:rPr>
        <w:t>cinco</w:t>
      </w:r>
      <w:r w:rsidRPr="00145DF5">
        <w:rPr>
          <w:rFonts w:ascii="Century Gothic" w:hAnsi="Century Gothic" w:cs="Arial"/>
          <w:b/>
          <w:bCs/>
          <w:sz w:val="28"/>
          <w:szCs w:val="28"/>
        </w:rPr>
        <w:t xml:space="preserve">) </w:t>
      </w:r>
      <w:r w:rsidRPr="00145DF5">
        <w:rPr>
          <w:rFonts w:ascii="Century Gothic" w:hAnsi="Century Gothic" w:cs="Arial"/>
          <w:sz w:val="28"/>
          <w:szCs w:val="28"/>
        </w:rPr>
        <w:t xml:space="preserve">dias corridos do recebimento da Autorização de Compra). </w:t>
      </w:r>
    </w:p>
    <w:p w:rsidR="00F87F7D" w:rsidRPr="00145DF5" w:rsidRDefault="00F87F7D" w:rsidP="00BE70D4">
      <w:pPr>
        <w:autoSpaceDE w:val="0"/>
        <w:autoSpaceDN w:val="0"/>
        <w:adjustRightInd w:val="0"/>
        <w:jc w:val="both"/>
        <w:rPr>
          <w:rFonts w:ascii="Century Gothic" w:hAnsi="Century Gothic" w:cs="Arial"/>
          <w:b/>
          <w:bCs/>
          <w:sz w:val="28"/>
          <w:szCs w:val="28"/>
        </w:rPr>
      </w:pPr>
    </w:p>
    <w:p w:rsidR="000C6F94" w:rsidRPr="00145DF5" w:rsidRDefault="000C6F94"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PRAZO DE VALIDADE DA PROPOSTA: </w:t>
      </w:r>
      <w:r w:rsidRPr="00145DF5">
        <w:rPr>
          <w:rFonts w:ascii="Century Gothic" w:hAnsi="Century Gothic" w:cs="Arial"/>
          <w:sz w:val="28"/>
          <w:szCs w:val="28"/>
        </w:rPr>
        <w:t xml:space="preserve">_____dias (mínimo de </w:t>
      </w:r>
      <w:r w:rsidRPr="00145DF5">
        <w:rPr>
          <w:rFonts w:ascii="Century Gothic" w:hAnsi="Century Gothic" w:cs="Arial"/>
          <w:b/>
          <w:bCs/>
          <w:sz w:val="28"/>
          <w:szCs w:val="28"/>
        </w:rPr>
        <w:t xml:space="preserve">60 (sessenta) </w:t>
      </w:r>
      <w:r w:rsidRPr="00145DF5">
        <w:rPr>
          <w:rFonts w:ascii="Century Gothic" w:hAnsi="Century Gothic" w:cs="Arial"/>
          <w:sz w:val="28"/>
          <w:szCs w:val="28"/>
        </w:rPr>
        <w:t xml:space="preserve">dias contados da data de abertura dos envelopes). </w:t>
      </w:r>
    </w:p>
    <w:p w:rsidR="000C6F94" w:rsidRPr="00145DF5" w:rsidRDefault="000C6F94" w:rsidP="00BE70D4">
      <w:pPr>
        <w:autoSpaceDE w:val="0"/>
        <w:autoSpaceDN w:val="0"/>
        <w:adjustRightInd w:val="0"/>
        <w:jc w:val="both"/>
        <w:rPr>
          <w:rFonts w:ascii="Century Gothic" w:hAnsi="Century Gothic" w:cs="Arial"/>
          <w:sz w:val="28"/>
          <w:szCs w:val="28"/>
        </w:rPr>
      </w:pPr>
    </w:p>
    <w:p w:rsidR="000C6F94" w:rsidRPr="00145DF5" w:rsidRDefault="000C6F94"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OBSERVAÇÕES: </w:t>
      </w:r>
      <w:r w:rsidRPr="00145DF5">
        <w:rPr>
          <w:rFonts w:ascii="Century Gothic" w:hAnsi="Century Gothic" w:cs="Arial"/>
          <w:sz w:val="28"/>
          <w:szCs w:val="28"/>
        </w:rPr>
        <w:t xml:space="preserve">A existência de preços registrados não obriga o Município de </w:t>
      </w:r>
      <w:r w:rsidR="00534669" w:rsidRPr="00145DF5">
        <w:rPr>
          <w:rFonts w:ascii="Century Gothic" w:hAnsi="Century Gothic" w:cs="Arial"/>
          <w:sz w:val="28"/>
          <w:szCs w:val="28"/>
        </w:rPr>
        <w:t>Pirajuí</w:t>
      </w:r>
      <w:r w:rsidRPr="00145DF5">
        <w:rPr>
          <w:rFonts w:ascii="Century Gothic" w:hAnsi="Century Gothic" w:cs="Arial"/>
          <w:sz w:val="28"/>
          <w:szCs w:val="28"/>
        </w:rPr>
        <w:t xml:space="preserve"> a firmar as contratações que deles poderiam advir, ficando-lhe facultada a utilização de outros meios, respeitada a legislação relativa às licitações, sendo assegurada ao beneficiário do registro a preferência de contratação em igualdade de condições. </w:t>
      </w:r>
    </w:p>
    <w:p w:rsidR="000C6F94" w:rsidRPr="00145DF5" w:rsidRDefault="000C6F94" w:rsidP="00BE70D4">
      <w:pPr>
        <w:autoSpaceDE w:val="0"/>
        <w:autoSpaceDN w:val="0"/>
        <w:adjustRightInd w:val="0"/>
        <w:jc w:val="both"/>
        <w:rPr>
          <w:rFonts w:ascii="Century Gothic" w:hAnsi="Century Gothic" w:cs="Arial"/>
          <w:sz w:val="28"/>
          <w:szCs w:val="28"/>
        </w:rPr>
      </w:pPr>
    </w:p>
    <w:p w:rsidR="000C6F94" w:rsidRPr="00145DF5" w:rsidRDefault="000C6F94"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DECLARO</w:t>
      </w:r>
      <w:r w:rsidR="002078E6">
        <w:rPr>
          <w:rFonts w:ascii="Century Gothic" w:hAnsi="Century Gothic" w:cs="Arial"/>
          <w:sz w:val="28"/>
          <w:szCs w:val="28"/>
        </w:rPr>
        <w:t xml:space="preserve">, sob as penas da lei, que os </w:t>
      </w:r>
      <w:r w:rsidR="00C60AED">
        <w:rPr>
          <w:rFonts w:ascii="Century Gothic" w:hAnsi="Century Gothic"/>
          <w:sz w:val="28"/>
          <w:szCs w:val="28"/>
        </w:rPr>
        <w:t>materiais</w:t>
      </w:r>
      <w:r w:rsidRPr="00145DF5">
        <w:rPr>
          <w:rFonts w:ascii="Century Gothic" w:hAnsi="Century Gothic" w:cs="Arial"/>
          <w:sz w:val="28"/>
          <w:szCs w:val="28"/>
        </w:rPr>
        <w:t xml:space="preserve"> ofertados atendem todas as especificações exigidas no Anexo II do edital.</w:t>
      </w:r>
    </w:p>
    <w:p w:rsidR="000C6F94" w:rsidRPr="00145DF5" w:rsidRDefault="000C6F94" w:rsidP="00BE70D4">
      <w:pPr>
        <w:autoSpaceDE w:val="0"/>
        <w:autoSpaceDN w:val="0"/>
        <w:adjustRightInd w:val="0"/>
        <w:jc w:val="both"/>
        <w:rPr>
          <w:rFonts w:ascii="Century Gothic" w:hAnsi="Century Gothic" w:cs="Arial"/>
          <w:sz w:val="28"/>
          <w:szCs w:val="28"/>
        </w:rPr>
      </w:pPr>
    </w:p>
    <w:p w:rsidR="000C6F94" w:rsidRPr="00145DF5" w:rsidRDefault="000C6F94" w:rsidP="00BE70D4">
      <w:pPr>
        <w:autoSpaceDE w:val="0"/>
        <w:autoSpaceDN w:val="0"/>
        <w:adjustRightInd w:val="0"/>
        <w:jc w:val="both"/>
        <w:rPr>
          <w:rFonts w:ascii="Century Gothic" w:hAnsi="Century Gothic" w:cs="Arial"/>
          <w:sz w:val="28"/>
          <w:szCs w:val="28"/>
        </w:rPr>
      </w:pPr>
      <w:r w:rsidRPr="00145DF5">
        <w:rPr>
          <w:rFonts w:ascii="Century Gothic" w:hAnsi="Century Gothic"/>
          <w:b/>
          <w:bCs/>
          <w:sz w:val="28"/>
          <w:szCs w:val="28"/>
        </w:rPr>
        <w:t xml:space="preserve">DECLARO </w:t>
      </w:r>
      <w:r w:rsidRPr="00145DF5">
        <w:rPr>
          <w:rFonts w:ascii="Century Gothic" w:hAnsi="Century Gothic"/>
          <w:sz w:val="28"/>
          <w:szCs w:val="28"/>
        </w:rPr>
        <w:t>que os preços indicados contemplam todos os custos diretos e indiretos incorridos na data da apresentação desta proposta incluindo, entre outros: tributos, encargos sociais, material, despesas administrativas, seguro, frete e lucro.</w:t>
      </w:r>
    </w:p>
    <w:p w:rsidR="000C6F94" w:rsidRDefault="000C6F94" w:rsidP="00BE70D4">
      <w:pPr>
        <w:autoSpaceDE w:val="0"/>
        <w:autoSpaceDN w:val="0"/>
        <w:adjustRightInd w:val="0"/>
        <w:jc w:val="both"/>
        <w:rPr>
          <w:rFonts w:ascii="Century Gothic" w:hAnsi="Century Gothic" w:cs="Arial"/>
          <w:sz w:val="28"/>
          <w:szCs w:val="28"/>
        </w:rPr>
      </w:pPr>
    </w:p>
    <w:p w:rsidR="00F95766" w:rsidRDefault="00F95766" w:rsidP="00BE70D4">
      <w:pPr>
        <w:autoSpaceDE w:val="0"/>
        <w:autoSpaceDN w:val="0"/>
        <w:adjustRightInd w:val="0"/>
        <w:jc w:val="both"/>
        <w:rPr>
          <w:rFonts w:ascii="Century Gothic" w:hAnsi="Century Gothic" w:cs="Arial"/>
          <w:sz w:val="28"/>
          <w:szCs w:val="28"/>
        </w:rPr>
      </w:pPr>
    </w:p>
    <w:p w:rsidR="00F95766" w:rsidRPr="00145DF5" w:rsidRDefault="00F95766" w:rsidP="00BE70D4">
      <w:pPr>
        <w:autoSpaceDE w:val="0"/>
        <w:autoSpaceDN w:val="0"/>
        <w:adjustRightInd w:val="0"/>
        <w:jc w:val="both"/>
        <w:rPr>
          <w:rFonts w:ascii="Century Gothic" w:hAnsi="Century Gothic" w:cs="Arial"/>
          <w:sz w:val="28"/>
          <w:szCs w:val="28"/>
        </w:rPr>
      </w:pPr>
    </w:p>
    <w:p w:rsidR="000C6F94" w:rsidRDefault="00534669" w:rsidP="00BE70D4">
      <w:pPr>
        <w:autoSpaceDE w:val="0"/>
        <w:autoSpaceDN w:val="0"/>
        <w:adjustRightInd w:val="0"/>
        <w:jc w:val="center"/>
        <w:rPr>
          <w:rFonts w:ascii="Century Gothic" w:hAnsi="Century Gothic" w:cs="Arial"/>
          <w:sz w:val="28"/>
          <w:szCs w:val="28"/>
        </w:rPr>
      </w:pPr>
      <w:r w:rsidRPr="00145DF5">
        <w:rPr>
          <w:rFonts w:ascii="Century Gothic" w:hAnsi="Century Gothic" w:cs="Arial"/>
          <w:sz w:val="28"/>
          <w:szCs w:val="28"/>
        </w:rPr>
        <w:lastRenderedPageBreak/>
        <w:t>Pirajuí</w:t>
      </w:r>
      <w:r w:rsidR="000C6F94" w:rsidRPr="00145DF5">
        <w:rPr>
          <w:rFonts w:ascii="Century Gothic" w:hAnsi="Century Gothic" w:cs="Arial"/>
          <w:sz w:val="28"/>
          <w:szCs w:val="28"/>
        </w:rPr>
        <w:t xml:space="preserve">, em ____ de ________________ de </w:t>
      </w:r>
      <w:r w:rsidR="00697877" w:rsidRPr="00145DF5">
        <w:rPr>
          <w:rFonts w:ascii="Century Gothic" w:hAnsi="Century Gothic" w:cs="Arial"/>
          <w:sz w:val="28"/>
          <w:szCs w:val="28"/>
        </w:rPr>
        <w:t>2017</w:t>
      </w:r>
      <w:r w:rsidR="000C6F94" w:rsidRPr="00145DF5">
        <w:rPr>
          <w:rFonts w:ascii="Century Gothic" w:hAnsi="Century Gothic" w:cs="Arial"/>
          <w:sz w:val="28"/>
          <w:szCs w:val="28"/>
        </w:rPr>
        <w:t>.</w:t>
      </w:r>
    </w:p>
    <w:p w:rsidR="00F95766" w:rsidRPr="00145DF5" w:rsidRDefault="00F95766" w:rsidP="00BE70D4">
      <w:pPr>
        <w:autoSpaceDE w:val="0"/>
        <w:autoSpaceDN w:val="0"/>
        <w:adjustRightInd w:val="0"/>
        <w:jc w:val="center"/>
        <w:rPr>
          <w:rFonts w:ascii="Century Gothic" w:hAnsi="Century Gothic" w:cs="Arial"/>
          <w:sz w:val="28"/>
          <w:szCs w:val="28"/>
        </w:rPr>
      </w:pPr>
    </w:p>
    <w:p w:rsidR="000C6F94" w:rsidRPr="00145DF5" w:rsidRDefault="000C6F94" w:rsidP="00BE70D4">
      <w:pPr>
        <w:autoSpaceDE w:val="0"/>
        <w:autoSpaceDN w:val="0"/>
        <w:adjustRightInd w:val="0"/>
        <w:jc w:val="center"/>
        <w:rPr>
          <w:rFonts w:ascii="Century Gothic" w:hAnsi="Century Gothic" w:cs="Arial"/>
          <w:sz w:val="28"/>
          <w:szCs w:val="28"/>
        </w:rPr>
      </w:pPr>
    </w:p>
    <w:p w:rsidR="000C6F94" w:rsidRPr="00145DF5" w:rsidRDefault="000C6F94" w:rsidP="00BE70D4">
      <w:pPr>
        <w:autoSpaceDE w:val="0"/>
        <w:autoSpaceDN w:val="0"/>
        <w:adjustRightInd w:val="0"/>
        <w:jc w:val="center"/>
        <w:rPr>
          <w:rFonts w:ascii="Century Gothic" w:hAnsi="Century Gothic" w:cs="Arial"/>
          <w:sz w:val="28"/>
          <w:szCs w:val="28"/>
        </w:rPr>
      </w:pPr>
      <w:r w:rsidRPr="00145DF5">
        <w:rPr>
          <w:rFonts w:ascii="Century Gothic" w:hAnsi="Century Gothic" w:cs="Arial"/>
          <w:sz w:val="28"/>
          <w:szCs w:val="28"/>
        </w:rPr>
        <w:t>____________________________</w:t>
      </w:r>
    </w:p>
    <w:p w:rsidR="000C6F94" w:rsidRPr="00145DF5" w:rsidRDefault="000C6F94" w:rsidP="00BE70D4">
      <w:pPr>
        <w:autoSpaceDE w:val="0"/>
        <w:autoSpaceDN w:val="0"/>
        <w:adjustRightInd w:val="0"/>
        <w:jc w:val="center"/>
        <w:rPr>
          <w:rFonts w:ascii="Century Gothic" w:hAnsi="Century Gothic" w:cs="Arial"/>
          <w:sz w:val="28"/>
          <w:szCs w:val="28"/>
        </w:rPr>
      </w:pPr>
      <w:r w:rsidRPr="00145DF5">
        <w:rPr>
          <w:rFonts w:ascii="Century Gothic" w:hAnsi="Century Gothic" w:cs="Arial"/>
          <w:sz w:val="28"/>
          <w:szCs w:val="28"/>
        </w:rPr>
        <w:t>Assinatura do representante legal</w:t>
      </w:r>
    </w:p>
    <w:p w:rsidR="000C6F94" w:rsidRPr="00145DF5" w:rsidRDefault="000C6F94" w:rsidP="00BE70D4">
      <w:pPr>
        <w:autoSpaceDE w:val="0"/>
        <w:autoSpaceDN w:val="0"/>
        <w:adjustRightInd w:val="0"/>
        <w:jc w:val="both"/>
        <w:rPr>
          <w:rFonts w:ascii="Century Gothic" w:hAnsi="Century Gothic" w:cs="Arial"/>
          <w:sz w:val="28"/>
          <w:szCs w:val="28"/>
        </w:rPr>
      </w:pPr>
    </w:p>
    <w:p w:rsidR="000C6F94" w:rsidRPr="00145DF5" w:rsidRDefault="000C6F94" w:rsidP="00BE70D4">
      <w:pPr>
        <w:autoSpaceDE w:val="0"/>
        <w:autoSpaceDN w:val="0"/>
        <w:adjustRightInd w:val="0"/>
        <w:jc w:val="both"/>
        <w:rPr>
          <w:rFonts w:ascii="Century Gothic" w:hAnsi="Century Gothic" w:cs="Arial"/>
          <w:sz w:val="28"/>
          <w:szCs w:val="28"/>
        </w:rPr>
      </w:pPr>
      <w:r w:rsidRPr="00145DF5">
        <w:rPr>
          <w:rFonts w:ascii="Century Gothic" w:hAnsi="Century Gothic" w:cs="Arial"/>
          <w:sz w:val="28"/>
          <w:szCs w:val="28"/>
        </w:rPr>
        <w:t>Nome do representante legal: _________________________________</w:t>
      </w:r>
    </w:p>
    <w:p w:rsidR="000C6F94" w:rsidRPr="00145DF5" w:rsidRDefault="000C6F94" w:rsidP="00BE70D4">
      <w:pPr>
        <w:autoSpaceDE w:val="0"/>
        <w:autoSpaceDN w:val="0"/>
        <w:adjustRightInd w:val="0"/>
        <w:jc w:val="both"/>
        <w:rPr>
          <w:rFonts w:ascii="Century Gothic" w:hAnsi="Century Gothic" w:cs="Arial"/>
          <w:sz w:val="28"/>
          <w:szCs w:val="28"/>
        </w:rPr>
      </w:pPr>
      <w:r w:rsidRPr="00145DF5">
        <w:rPr>
          <w:rFonts w:ascii="Century Gothic" w:hAnsi="Century Gothic" w:cs="Arial"/>
          <w:sz w:val="28"/>
          <w:szCs w:val="28"/>
        </w:rPr>
        <w:t>RG do representante legal: __________________________</w:t>
      </w:r>
    </w:p>
    <w:p w:rsidR="000C6F94" w:rsidRPr="00145DF5" w:rsidRDefault="000C6F94" w:rsidP="00BE70D4">
      <w:pPr>
        <w:autoSpaceDE w:val="0"/>
        <w:autoSpaceDN w:val="0"/>
        <w:adjustRightInd w:val="0"/>
        <w:jc w:val="both"/>
        <w:rPr>
          <w:rFonts w:ascii="Century Gothic" w:hAnsi="Century Gothic" w:cs="Arial"/>
          <w:sz w:val="28"/>
          <w:szCs w:val="28"/>
        </w:rPr>
      </w:pPr>
      <w:r w:rsidRPr="00145DF5">
        <w:rPr>
          <w:rFonts w:ascii="Century Gothic" w:hAnsi="Century Gothic" w:cs="Arial"/>
          <w:sz w:val="28"/>
          <w:szCs w:val="28"/>
        </w:rPr>
        <w:t>CPF do representante legal: _________________________</w:t>
      </w:r>
    </w:p>
    <w:p w:rsidR="007554F0" w:rsidRPr="00145DF5" w:rsidRDefault="009A5808" w:rsidP="00BE70D4">
      <w:pPr>
        <w:pStyle w:val="Default"/>
        <w:ind w:firstLine="0"/>
        <w:jc w:val="center"/>
        <w:rPr>
          <w:rFonts w:ascii="Century Gothic" w:hAnsi="Century Gothic"/>
          <w:b/>
          <w:bCs/>
          <w:color w:val="auto"/>
          <w:sz w:val="28"/>
          <w:szCs w:val="28"/>
          <w:lang w:val="pt-BR"/>
        </w:rPr>
      </w:pPr>
      <w:r w:rsidRPr="00145DF5">
        <w:rPr>
          <w:rFonts w:ascii="Century Gothic" w:hAnsi="Century Gothic"/>
          <w:b/>
          <w:bCs/>
          <w:color w:val="auto"/>
          <w:sz w:val="28"/>
          <w:szCs w:val="28"/>
          <w:lang w:val="pt-BR"/>
        </w:rPr>
        <w:br w:type="page"/>
      </w:r>
      <w:r w:rsidR="007554F0" w:rsidRPr="00145DF5">
        <w:rPr>
          <w:rFonts w:ascii="Century Gothic" w:hAnsi="Century Gothic"/>
          <w:b/>
          <w:bCs/>
          <w:color w:val="auto"/>
          <w:sz w:val="28"/>
          <w:szCs w:val="28"/>
          <w:lang w:val="pt-BR"/>
        </w:rPr>
        <w:lastRenderedPageBreak/>
        <w:t>ANEXO IV</w:t>
      </w:r>
    </w:p>
    <w:p w:rsidR="007554F0" w:rsidRPr="00145DF5" w:rsidRDefault="007554F0" w:rsidP="00BE70D4">
      <w:pPr>
        <w:autoSpaceDE w:val="0"/>
        <w:autoSpaceDN w:val="0"/>
        <w:adjustRightInd w:val="0"/>
        <w:jc w:val="center"/>
        <w:rPr>
          <w:rFonts w:ascii="Century Gothic" w:hAnsi="Century Gothic" w:cs="Arial"/>
          <w:b/>
          <w:bCs/>
          <w:sz w:val="28"/>
          <w:szCs w:val="28"/>
        </w:rPr>
      </w:pPr>
      <w:r w:rsidRPr="00145DF5">
        <w:rPr>
          <w:rFonts w:ascii="Century Gothic" w:hAnsi="Century Gothic"/>
          <w:b/>
          <w:bCs/>
          <w:sz w:val="28"/>
          <w:szCs w:val="23"/>
        </w:rPr>
        <w:t>MINUTA DE ATA DE REGISTRO DE PREÇOS</w:t>
      </w:r>
    </w:p>
    <w:p w:rsidR="007554F0" w:rsidRPr="00145DF5" w:rsidRDefault="007554F0" w:rsidP="00BE70D4">
      <w:pPr>
        <w:pStyle w:val="Default"/>
        <w:ind w:firstLine="0"/>
        <w:rPr>
          <w:rFonts w:ascii="Century Gothic" w:hAnsi="Century Gothic"/>
          <w:b/>
          <w:bCs/>
          <w:color w:val="auto"/>
          <w:sz w:val="28"/>
          <w:szCs w:val="28"/>
          <w:lang w:val="pt-BR"/>
        </w:rPr>
      </w:pPr>
    </w:p>
    <w:p w:rsidR="007554F0" w:rsidRPr="00145DF5" w:rsidRDefault="007554F0" w:rsidP="00BE70D4">
      <w:pPr>
        <w:autoSpaceDE w:val="0"/>
        <w:autoSpaceDN w:val="0"/>
        <w:adjustRightInd w:val="0"/>
        <w:jc w:val="right"/>
        <w:rPr>
          <w:rFonts w:ascii="Century Gothic" w:hAnsi="Century Gothic" w:cs="Arial"/>
          <w:b/>
          <w:bCs/>
          <w:sz w:val="28"/>
          <w:szCs w:val="28"/>
        </w:rPr>
      </w:pPr>
      <w:r w:rsidRPr="00145DF5">
        <w:rPr>
          <w:rFonts w:ascii="Century Gothic" w:hAnsi="Century Gothic" w:cs="Arial"/>
          <w:b/>
          <w:bCs/>
          <w:sz w:val="28"/>
          <w:szCs w:val="28"/>
        </w:rPr>
        <w:t>PREGÃO (PRES</w:t>
      </w:r>
      <w:r w:rsidR="00DF3F6D" w:rsidRPr="00145DF5">
        <w:rPr>
          <w:rFonts w:ascii="Century Gothic" w:hAnsi="Century Gothic" w:cs="Arial"/>
          <w:b/>
          <w:bCs/>
          <w:sz w:val="28"/>
          <w:szCs w:val="28"/>
        </w:rPr>
        <w:t xml:space="preserve">ENCIAL) N° </w:t>
      </w:r>
      <w:r w:rsidR="00ED459C" w:rsidRPr="00145DF5">
        <w:rPr>
          <w:rFonts w:ascii="Century Gothic" w:hAnsi="Century Gothic" w:cs="Arial"/>
          <w:b/>
          <w:bCs/>
          <w:sz w:val="28"/>
          <w:szCs w:val="28"/>
        </w:rPr>
        <w:t>00</w:t>
      </w:r>
      <w:r w:rsidR="008476C5">
        <w:rPr>
          <w:rFonts w:ascii="Century Gothic" w:hAnsi="Century Gothic" w:cs="Arial"/>
          <w:b/>
          <w:bCs/>
          <w:sz w:val="28"/>
          <w:szCs w:val="28"/>
        </w:rPr>
        <w:t>6</w:t>
      </w:r>
      <w:r w:rsidR="00ED459C" w:rsidRPr="00145DF5">
        <w:rPr>
          <w:rFonts w:ascii="Century Gothic" w:hAnsi="Century Gothic" w:cs="Arial"/>
          <w:b/>
          <w:bCs/>
          <w:sz w:val="28"/>
          <w:szCs w:val="28"/>
        </w:rPr>
        <w:t>/2017</w:t>
      </w:r>
    </w:p>
    <w:p w:rsidR="007554F0" w:rsidRPr="00145DF5" w:rsidRDefault="007554F0" w:rsidP="00BE70D4">
      <w:pPr>
        <w:autoSpaceDE w:val="0"/>
        <w:autoSpaceDN w:val="0"/>
        <w:adjustRightInd w:val="0"/>
        <w:jc w:val="right"/>
        <w:rPr>
          <w:rFonts w:ascii="Century Gothic" w:eastAsiaTheme="minorHAnsi" w:hAnsi="Century Gothic" w:cs="Arial"/>
          <w:b/>
          <w:bCs/>
          <w:sz w:val="28"/>
          <w:szCs w:val="28"/>
          <w:lang w:eastAsia="en-US"/>
        </w:rPr>
      </w:pPr>
      <w:r w:rsidRPr="00145DF5">
        <w:rPr>
          <w:rFonts w:ascii="Century Gothic" w:eastAsiaTheme="minorHAnsi" w:hAnsi="Century Gothic" w:cs="Arial"/>
          <w:b/>
          <w:bCs/>
          <w:sz w:val="28"/>
          <w:szCs w:val="28"/>
          <w:lang w:eastAsia="en-US"/>
        </w:rPr>
        <w:t xml:space="preserve">PROCESSO N° </w:t>
      </w:r>
      <w:r w:rsidR="00ED459C" w:rsidRPr="00145DF5">
        <w:rPr>
          <w:rFonts w:ascii="Century Gothic" w:eastAsiaTheme="minorHAnsi" w:hAnsi="Century Gothic" w:cs="Arial"/>
          <w:b/>
          <w:bCs/>
          <w:sz w:val="28"/>
          <w:szCs w:val="28"/>
          <w:lang w:eastAsia="en-US"/>
        </w:rPr>
        <w:t>0</w:t>
      </w:r>
      <w:r w:rsidR="008476C5">
        <w:rPr>
          <w:rFonts w:ascii="Century Gothic" w:eastAsiaTheme="minorHAnsi" w:hAnsi="Century Gothic" w:cs="Arial"/>
          <w:b/>
          <w:bCs/>
          <w:sz w:val="28"/>
          <w:szCs w:val="28"/>
          <w:lang w:eastAsia="en-US"/>
        </w:rPr>
        <w:t>1</w:t>
      </w:r>
      <w:r w:rsidR="00ED459C" w:rsidRPr="00145DF5">
        <w:rPr>
          <w:rFonts w:ascii="Century Gothic" w:eastAsiaTheme="minorHAnsi" w:hAnsi="Century Gothic" w:cs="Arial"/>
          <w:b/>
          <w:bCs/>
          <w:sz w:val="28"/>
          <w:szCs w:val="28"/>
          <w:lang w:eastAsia="en-US"/>
        </w:rPr>
        <w:t>1/2017</w:t>
      </w:r>
    </w:p>
    <w:p w:rsidR="007554F0" w:rsidRPr="00145DF5" w:rsidRDefault="007554F0" w:rsidP="00BE70D4">
      <w:pPr>
        <w:pStyle w:val="Default"/>
        <w:ind w:firstLine="0"/>
        <w:rPr>
          <w:rFonts w:ascii="Century Gothic" w:hAnsi="Century Gothic"/>
          <w:b/>
          <w:bCs/>
          <w:color w:val="auto"/>
          <w:sz w:val="28"/>
          <w:szCs w:val="28"/>
          <w:lang w:val="pt-BR"/>
        </w:rPr>
      </w:pPr>
    </w:p>
    <w:p w:rsidR="007554F0" w:rsidRPr="00145DF5" w:rsidRDefault="00534669" w:rsidP="00BE70D4">
      <w:pPr>
        <w:pStyle w:val="Default"/>
        <w:ind w:firstLine="0"/>
        <w:jc w:val="both"/>
        <w:rPr>
          <w:rFonts w:ascii="Century Gothic" w:hAnsi="Century Gothic"/>
          <w:b/>
          <w:bCs/>
          <w:color w:val="auto"/>
          <w:sz w:val="28"/>
          <w:szCs w:val="28"/>
          <w:lang w:val="pt-BR"/>
        </w:rPr>
      </w:pPr>
      <w:r w:rsidRPr="00145DF5">
        <w:rPr>
          <w:rFonts w:ascii="Century Gothic" w:hAnsi="Century Gothic"/>
          <w:color w:val="auto"/>
          <w:sz w:val="28"/>
          <w:szCs w:val="28"/>
          <w:lang w:val="pt-BR"/>
        </w:rPr>
        <w:t xml:space="preserve">Aos __ dias do mês de _______________ de </w:t>
      </w:r>
      <w:r w:rsidR="00697877" w:rsidRPr="00145DF5">
        <w:rPr>
          <w:rFonts w:ascii="Century Gothic" w:hAnsi="Century Gothic"/>
          <w:color w:val="auto"/>
          <w:sz w:val="28"/>
          <w:szCs w:val="28"/>
          <w:lang w:val="pt-BR"/>
        </w:rPr>
        <w:t>2017</w:t>
      </w:r>
      <w:r w:rsidRPr="00145DF5">
        <w:rPr>
          <w:rFonts w:ascii="Century Gothic" w:hAnsi="Century Gothic"/>
          <w:color w:val="auto"/>
          <w:sz w:val="28"/>
          <w:szCs w:val="28"/>
          <w:lang w:val="pt-BR"/>
        </w:rPr>
        <w:t xml:space="preserve">, de um lado, o </w:t>
      </w:r>
      <w:r w:rsidRPr="00145DF5">
        <w:rPr>
          <w:rFonts w:ascii="Century Gothic" w:hAnsi="Century Gothic"/>
          <w:b/>
          <w:bCs/>
          <w:color w:val="auto"/>
          <w:sz w:val="28"/>
          <w:szCs w:val="28"/>
          <w:lang w:val="pt-BR"/>
        </w:rPr>
        <w:t>MUNICÍPIO DE PIRAJUÍ</w:t>
      </w:r>
      <w:r w:rsidRPr="00145DF5">
        <w:rPr>
          <w:rFonts w:ascii="Century Gothic" w:hAnsi="Century Gothic"/>
          <w:bCs/>
          <w:color w:val="auto"/>
          <w:sz w:val="28"/>
          <w:szCs w:val="28"/>
          <w:lang w:val="pt-BR"/>
        </w:rPr>
        <w:t>,</w:t>
      </w:r>
      <w:r w:rsidRPr="00145DF5">
        <w:rPr>
          <w:rFonts w:ascii="Century Gothic" w:hAnsi="Century Gothic"/>
          <w:color w:val="auto"/>
          <w:sz w:val="28"/>
          <w:szCs w:val="28"/>
          <w:lang w:val="pt-BR"/>
        </w:rPr>
        <w:t xml:space="preserve"> inscrito no CNPJ nº 44.555.029/0001-16, com sede na Praça Doutor Pedro da Rocha Braga nº 116 – Centro – CEP 16.600-000 – Pi</w:t>
      </w:r>
      <w:r w:rsidR="00145DF5">
        <w:rPr>
          <w:rFonts w:ascii="Century Gothic" w:hAnsi="Century Gothic"/>
          <w:color w:val="auto"/>
          <w:sz w:val="28"/>
          <w:szCs w:val="28"/>
          <w:lang w:val="pt-BR"/>
        </w:rPr>
        <w:t>rajuí – SP, representado pel</w:t>
      </w:r>
      <w:r w:rsidR="00F95766">
        <w:rPr>
          <w:rFonts w:ascii="Century Gothic" w:hAnsi="Century Gothic"/>
          <w:color w:val="auto"/>
          <w:sz w:val="28"/>
          <w:szCs w:val="28"/>
          <w:lang w:val="pt-BR"/>
        </w:rPr>
        <w:t>o</w:t>
      </w:r>
      <w:r w:rsidR="00145DF5">
        <w:rPr>
          <w:rFonts w:ascii="Century Gothic" w:hAnsi="Century Gothic"/>
          <w:color w:val="auto"/>
          <w:sz w:val="28"/>
          <w:szCs w:val="28"/>
          <w:lang w:val="pt-BR"/>
        </w:rPr>
        <w:t xml:space="preserve"> seu</w:t>
      </w:r>
      <w:r w:rsidRPr="00145DF5">
        <w:rPr>
          <w:rFonts w:ascii="Century Gothic" w:hAnsi="Century Gothic"/>
          <w:color w:val="auto"/>
          <w:sz w:val="28"/>
          <w:szCs w:val="28"/>
          <w:lang w:val="pt-BR"/>
        </w:rPr>
        <w:t xml:space="preserve"> Prefeit</w:t>
      </w:r>
      <w:r w:rsidR="00145DF5">
        <w:rPr>
          <w:rFonts w:ascii="Century Gothic" w:hAnsi="Century Gothic"/>
          <w:color w:val="auto"/>
          <w:sz w:val="28"/>
          <w:szCs w:val="28"/>
          <w:lang w:val="pt-BR"/>
        </w:rPr>
        <w:t>o</w:t>
      </w:r>
      <w:r w:rsidRPr="00145DF5">
        <w:rPr>
          <w:rFonts w:ascii="Century Gothic" w:hAnsi="Century Gothic"/>
          <w:color w:val="auto"/>
          <w:sz w:val="28"/>
          <w:szCs w:val="28"/>
          <w:lang w:val="pt-BR"/>
        </w:rPr>
        <w:t xml:space="preserve"> Municipal, </w:t>
      </w:r>
      <w:r w:rsidRPr="00145DF5">
        <w:rPr>
          <w:rFonts w:ascii="Century Gothic" w:hAnsi="Century Gothic"/>
          <w:b/>
          <w:bCs/>
          <w:color w:val="auto"/>
          <w:sz w:val="28"/>
          <w:szCs w:val="28"/>
          <w:lang w:val="pt-BR"/>
        </w:rPr>
        <w:t xml:space="preserve">SENHOR </w:t>
      </w:r>
      <w:r w:rsidR="00145DF5">
        <w:rPr>
          <w:rFonts w:ascii="Century Gothic" w:hAnsi="Century Gothic"/>
          <w:b/>
          <w:bCs/>
          <w:color w:val="auto"/>
          <w:sz w:val="28"/>
          <w:szCs w:val="28"/>
          <w:lang w:val="pt-BR"/>
        </w:rPr>
        <w:t>CESAR HENRIQUE DA CUNHA FIALA</w:t>
      </w:r>
      <w:r w:rsidRPr="00145DF5">
        <w:rPr>
          <w:rFonts w:ascii="Century Gothic" w:hAnsi="Century Gothic"/>
          <w:color w:val="auto"/>
          <w:sz w:val="28"/>
          <w:szCs w:val="28"/>
          <w:lang w:val="pt-BR"/>
        </w:rPr>
        <w:t>, brasileir</w:t>
      </w:r>
      <w:r w:rsidR="00145DF5">
        <w:rPr>
          <w:rFonts w:ascii="Century Gothic" w:hAnsi="Century Gothic"/>
          <w:color w:val="auto"/>
          <w:sz w:val="28"/>
          <w:szCs w:val="28"/>
          <w:lang w:val="pt-BR"/>
        </w:rPr>
        <w:t>o</w:t>
      </w:r>
      <w:r w:rsidRPr="00145DF5">
        <w:rPr>
          <w:rFonts w:ascii="Century Gothic" w:hAnsi="Century Gothic"/>
          <w:color w:val="auto"/>
          <w:sz w:val="28"/>
          <w:szCs w:val="28"/>
          <w:lang w:val="pt-BR"/>
        </w:rPr>
        <w:t xml:space="preserve">, </w:t>
      </w:r>
      <w:r w:rsidR="00145DF5">
        <w:rPr>
          <w:rFonts w:ascii="Century Gothic" w:hAnsi="Century Gothic"/>
          <w:color w:val="auto"/>
          <w:sz w:val="28"/>
          <w:szCs w:val="28"/>
          <w:lang w:val="pt-BR"/>
        </w:rPr>
        <w:t>solteiro</w:t>
      </w:r>
      <w:r w:rsidRPr="00145DF5">
        <w:rPr>
          <w:rFonts w:ascii="Century Gothic" w:hAnsi="Century Gothic"/>
          <w:color w:val="auto"/>
          <w:sz w:val="28"/>
          <w:szCs w:val="28"/>
          <w:lang w:val="pt-BR"/>
        </w:rPr>
        <w:t xml:space="preserve">, </w:t>
      </w:r>
      <w:r w:rsidR="00145DF5">
        <w:rPr>
          <w:rFonts w:ascii="Century Gothic" w:hAnsi="Century Gothic"/>
          <w:color w:val="auto"/>
          <w:sz w:val="28"/>
          <w:szCs w:val="28"/>
          <w:lang w:val="pt-BR"/>
        </w:rPr>
        <w:t>empresário</w:t>
      </w:r>
      <w:r w:rsidRPr="00145DF5">
        <w:rPr>
          <w:rFonts w:ascii="Century Gothic" w:hAnsi="Century Gothic"/>
          <w:color w:val="auto"/>
          <w:sz w:val="28"/>
          <w:szCs w:val="28"/>
          <w:lang w:val="pt-BR"/>
        </w:rPr>
        <w:t xml:space="preserve">, portador da cédula de identidade RG nº </w:t>
      </w:r>
      <w:r w:rsidR="00145DF5">
        <w:rPr>
          <w:rFonts w:ascii="Century Gothic" w:hAnsi="Century Gothic"/>
          <w:color w:val="auto"/>
          <w:sz w:val="28"/>
          <w:szCs w:val="28"/>
          <w:lang w:val="pt-BR"/>
        </w:rPr>
        <w:t>34.384.708-5</w:t>
      </w:r>
      <w:r w:rsidRPr="00145DF5">
        <w:rPr>
          <w:rFonts w:ascii="Century Gothic" w:hAnsi="Century Gothic"/>
          <w:color w:val="auto"/>
          <w:sz w:val="28"/>
          <w:szCs w:val="28"/>
          <w:lang w:val="pt-BR"/>
        </w:rPr>
        <w:t>, emitido pela Secretaria de Segurança Pública do Estado de São Paulo e, devidamente Inscrit</w:t>
      </w:r>
      <w:r w:rsidR="00145DF5">
        <w:rPr>
          <w:rFonts w:ascii="Century Gothic" w:hAnsi="Century Gothic"/>
          <w:color w:val="auto"/>
          <w:sz w:val="28"/>
          <w:szCs w:val="28"/>
          <w:lang w:val="pt-BR"/>
        </w:rPr>
        <w:t>o</w:t>
      </w:r>
      <w:r w:rsidRPr="00145DF5">
        <w:rPr>
          <w:rFonts w:ascii="Century Gothic" w:hAnsi="Century Gothic"/>
          <w:color w:val="auto"/>
          <w:sz w:val="28"/>
          <w:szCs w:val="28"/>
          <w:lang w:val="pt-BR"/>
        </w:rPr>
        <w:t xml:space="preserve"> no Cadastro das Pessoas Físicas do Ministério da Fazenda sob o nº </w:t>
      </w:r>
      <w:r w:rsidR="00145DF5">
        <w:rPr>
          <w:rFonts w:ascii="Century Gothic" w:hAnsi="Century Gothic"/>
          <w:color w:val="auto"/>
          <w:sz w:val="28"/>
          <w:szCs w:val="28"/>
          <w:lang w:val="pt-BR"/>
        </w:rPr>
        <w:t>382.854.078-37</w:t>
      </w:r>
      <w:r w:rsidR="007554F0" w:rsidRPr="00145DF5">
        <w:rPr>
          <w:rFonts w:ascii="Century Gothic" w:hAnsi="Century Gothic"/>
          <w:color w:val="auto"/>
          <w:sz w:val="28"/>
          <w:szCs w:val="28"/>
          <w:lang w:val="pt-BR"/>
        </w:rPr>
        <w:t xml:space="preserve">, doravante designado </w:t>
      </w:r>
      <w:r w:rsidR="007554F0" w:rsidRPr="00145DF5">
        <w:rPr>
          <w:rFonts w:ascii="Century Gothic" w:hAnsi="Century Gothic"/>
          <w:b/>
          <w:color w:val="auto"/>
          <w:sz w:val="28"/>
          <w:szCs w:val="28"/>
          <w:lang w:val="pt-BR"/>
        </w:rPr>
        <w:t>MUNICÍPIO</w:t>
      </w:r>
      <w:r w:rsidR="007554F0" w:rsidRPr="00145DF5">
        <w:rPr>
          <w:rFonts w:ascii="Century Gothic" w:hAnsi="Century Gothic"/>
          <w:color w:val="auto"/>
          <w:sz w:val="28"/>
          <w:szCs w:val="28"/>
          <w:lang w:val="pt-BR"/>
        </w:rPr>
        <w:t xml:space="preserve">, e a(s) empresa(s) abaixo relacionada(s), representada(s) na forma de seu(s) estatuto(s) social(is), em ordem de preferência por classificação, doravante denominada(s) </w:t>
      </w:r>
      <w:r w:rsidR="007554F0" w:rsidRPr="00145DF5">
        <w:rPr>
          <w:rFonts w:ascii="Century Gothic" w:hAnsi="Century Gothic"/>
          <w:b/>
          <w:bCs/>
          <w:color w:val="auto"/>
          <w:sz w:val="28"/>
          <w:szCs w:val="28"/>
          <w:lang w:val="pt-BR"/>
        </w:rPr>
        <w:t xml:space="preserve">DETENTORA(S), </w:t>
      </w:r>
      <w:r w:rsidR="007554F0" w:rsidRPr="00145DF5">
        <w:rPr>
          <w:rFonts w:ascii="Century Gothic" w:hAnsi="Century Gothic"/>
          <w:color w:val="auto"/>
          <w:sz w:val="28"/>
          <w:szCs w:val="28"/>
          <w:lang w:val="pt-BR"/>
        </w:rPr>
        <w:t xml:space="preserve">resolvem firmar o presente ajuste para Registro de Preços, nos termos das Leis </w:t>
      </w:r>
      <w:r w:rsidR="007554F0" w:rsidRPr="00145DF5">
        <w:rPr>
          <w:rFonts w:ascii="Century Gothic" w:hAnsi="Century Gothic"/>
          <w:color w:val="auto"/>
          <w:sz w:val="28"/>
          <w:szCs w:val="28"/>
          <w:lang w:val="pt-BR" w:eastAsia="pt-BR"/>
        </w:rPr>
        <w:t>Federais nºs</w:t>
      </w:r>
      <w:r w:rsidR="007554F0" w:rsidRPr="00145DF5">
        <w:rPr>
          <w:rFonts w:ascii="Century Gothic" w:hAnsi="Century Gothic"/>
          <w:color w:val="auto"/>
          <w:sz w:val="28"/>
          <w:szCs w:val="28"/>
          <w:lang w:val="pt-BR"/>
        </w:rPr>
        <w:t xml:space="preserve"> 8.666/1993 e 10.520/2002, bem como do edital de Pregão nos autos do processo em epígrafe, mediante condições e cláusulas a seguir estabelecidas.</w:t>
      </w:r>
    </w:p>
    <w:p w:rsidR="007554F0" w:rsidRPr="00145DF5" w:rsidRDefault="007554F0" w:rsidP="00BE70D4">
      <w:pPr>
        <w:pStyle w:val="Default"/>
        <w:ind w:firstLine="0"/>
        <w:rPr>
          <w:rFonts w:ascii="Century Gothic" w:hAnsi="Century Gothic"/>
          <w:b/>
          <w:bCs/>
          <w:color w:val="auto"/>
          <w:sz w:val="28"/>
          <w:szCs w:val="28"/>
          <w:lang w:val="pt-BR"/>
        </w:rPr>
      </w:pPr>
    </w:p>
    <w:p w:rsidR="007554F0" w:rsidRPr="00145DF5" w:rsidRDefault="007554F0" w:rsidP="00BE70D4">
      <w:pPr>
        <w:pStyle w:val="Default"/>
        <w:ind w:firstLine="0"/>
        <w:rPr>
          <w:rFonts w:ascii="Century Gothic" w:hAnsi="Century Gothic"/>
          <w:color w:val="auto"/>
          <w:sz w:val="28"/>
          <w:szCs w:val="28"/>
          <w:lang w:val="pt-BR" w:eastAsia="pt-BR" w:bidi="ar-SA"/>
        </w:rPr>
      </w:pPr>
      <w:r w:rsidRPr="00145DF5">
        <w:rPr>
          <w:rFonts w:ascii="Century Gothic" w:hAnsi="Century Gothic"/>
          <w:b/>
          <w:bCs/>
          <w:color w:val="auto"/>
          <w:sz w:val="28"/>
          <w:szCs w:val="28"/>
          <w:lang w:val="pt-BR" w:eastAsia="pt-BR" w:bidi="ar-SA"/>
        </w:rPr>
        <w:t xml:space="preserve">DETENTORA (S): </w:t>
      </w:r>
    </w:p>
    <w:p w:rsidR="007554F0" w:rsidRPr="00145DF5" w:rsidRDefault="007554F0" w:rsidP="00BE70D4">
      <w:pPr>
        <w:autoSpaceDE w:val="0"/>
        <w:autoSpaceDN w:val="0"/>
        <w:adjustRightInd w:val="0"/>
        <w:rPr>
          <w:rFonts w:ascii="Century Gothic" w:hAnsi="Century Gothic" w:cs="Arial"/>
          <w:b/>
          <w:bCs/>
          <w:sz w:val="28"/>
          <w:szCs w:val="28"/>
        </w:rPr>
      </w:pPr>
    </w:p>
    <w:p w:rsidR="007554F0" w:rsidRPr="00145DF5" w:rsidRDefault="007554F0" w:rsidP="00BE70D4">
      <w:pPr>
        <w:autoSpaceDE w:val="0"/>
        <w:autoSpaceDN w:val="0"/>
        <w:adjustRightInd w:val="0"/>
        <w:rPr>
          <w:rFonts w:ascii="Century Gothic" w:hAnsi="Century Gothic" w:cs="Arial"/>
          <w:sz w:val="28"/>
          <w:szCs w:val="28"/>
        </w:rPr>
      </w:pPr>
      <w:r w:rsidRPr="00145DF5">
        <w:rPr>
          <w:rFonts w:ascii="Century Gothic" w:hAnsi="Century Gothic" w:cs="Arial"/>
          <w:b/>
          <w:bCs/>
          <w:sz w:val="28"/>
          <w:szCs w:val="28"/>
        </w:rPr>
        <w:t xml:space="preserve">DETENTORA 1 </w:t>
      </w:r>
    </w:p>
    <w:p w:rsidR="007554F0" w:rsidRPr="00145DF5" w:rsidRDefault="007554F0" w:rsidP="00BE70D4">
      <w:pPr>
        <w:autoSpaceDE w:val="0"/>
        <w:autoSpaceDN w:val="0"/>
        <w:adjustRightInd w:val="0"/>
        <w:rPr>
          <w:rFonts w:ascii="Century Gothic" w:hAnsi="Century Gothic" w:cs="Arial"/>
          <w:sz w:val="28"/>
          <w:szCs w:val="28"/>
        </w:rPr>
      </w:pPr>
      <w:r w:rsidRPr="00145DF5">
        <w:rPr>
          <w:rFonts w:ascii="Century Gothic" w:hAnsi="Century Gothic" w:cs="Arial"/>
          <w:sz w:val="28"/>
          <w:szCs w:val="28"/>
        </w:rPr>
        <w:t xml:space="preserve">Denominação: .............................................. </w:t>
      </w:r>
    </w:p>
    <w:p w:rsidR="007554F0" w:rsidRPr="00145DF5" w:rsidRDefault="007554F0" w:rsidP="00BE70D4">
      <w:pPr>
        <w:autoSpaceDE w:val="0"/>
        <w:autoSpaceDN w:val="0"/>
        <w:adjustRightInd w:val="0"/>
        <w:rPr>
          <w:rFonts w:ascii="Century Gothic" w:hAnsi="Century Gothic" w:cs="Arial"/>
          <w:sz w:val="28"/>
          <w:szCs w:val="28"/>
        </w:rPr>
      </w:pPr>
      <w:r w:rsidRPr="00145DF5">
        <w:rPr>
          <w:rFonts w:ascii="Century Gothic" w:hAnsi="Century Gothic" w:cs="Arial"/>
          <w:sz w:val="28"/>
          <w:szCs w:val="28"/>
        </w:rPr>
        <w:t xml:space="preserve">Endereço: ..................................................... </w:t>
      </w:r>
    </w:p>
    <w:p w:rsidR="007554F0" w:rsidRPr="00145DF5" w:rsidRDefault="007554F0" w:rsidP="00BE70D4">
      <w:pPr>
        <w:autoSpaceDE w:val="0"/>
        <w:autoSpaceDN w:val="0"/>
        <w:adjustRightInd w:val="0"/>
        <w:rPr>
          <w:rFonts w:ascii="Century Gothic" w:hAnsi="Century Gothic" w:cs="Arial"/>
          <w:sz w:val="28"/>
          <w:szCs w:val="28"/>
        </w:rPr>
      </w:pPr>
      <w:r w:rsidRPr="00145DF5">
        <w:rPr>
          <w:rFonts w:ascii="Century Gothic" w:hAnsi="Century Gothic" w:cs="Arial"/>
          <w:sz w:val="28"/>
          <w:szCs w:val="28"/>
        </w:rPr>
        <w:t xml:space="preserve">CNPJ: ........................................................... </w:t>
      </w:r>
    </w:p>
    <w:p w:rsidR="007554F0" w:rsidRPr="00145DF5" w:rsidRDefault="007554F0" w:rsidP="00BE70D4">
      <w:pPr>
        <w:autoSpaceDE w:val="0"/>
        <w:autoSpaceDN w:val="0"/>
        <w:adjustRightInd w:val="0"/>
        <w:rPr>
          <w:rFonts w:ascii="Century Gothic" w:hAnsi="Century Gothic" w:cs="Arial"/>
          <w:sz w:val="28"/>
          <w:szCs w:val="28"/>
        </w:rPr>
      </w:pPr>
      <w:r w:rsidRPr="00145DF5">
        <w:rPr>
          <w:rFonts w:ascii="Century Gothic" w:hAnsi="Century Gothic" w:cs="Arial"/>
          <w:sz w:val="28"/>
          <w:szCs w:val="28"/>
        </w:rPr>
        <w:t xml:space="preserve">Representante Legal: ................................... </w:t>
      </w:r>
    </w:p>
    <w:p w:rsidR="007554F0" w:rsidRPr="00145DF5" w:rsidRDefault="007554F0" w:rsidP="00BE70D4">
      <w:pPr>
        <w:autoSpaceDE w:val="0"/>
        <w:autoSpaceDN w:val="0"/>
        <w:adjustRightInd w:val="0"/>
        <w:rPr>
          <w:rFonts w:ascii="Century Gothic" w:hAnsi="Century Gothic" w:cs="Arial"/>
          <w:sz w:val="28"/>
          <w:szCs w:val="28"/>
        </w:rPr>
      </w:pPr>
      <w:r w:rsidRPr="00145DF5">
        <w:rPr>
          <w:rFonts w:ascii="Century Gothic" w:hAnsi="Century Gothic" w:cs="Arial"/>
          <w:sz w:val="28"/>
          <w:szCs w:val="28"/>
        </w:rPr>
        <w:t xml:space="preserve">CPF: ............................................................. </w:t>
      </w:r>
    </w:p>
    <w:p w:rsidR="007554F0" w:rsidRPr="00145DF5" w:rsidRDefault="007554F0" w:rsidP="00BE70D4">
      <w:pPr>
        <w:autoSpaceDE w:val="0"/>
        <w:autoSpaceDN w:val="0"/>
        <w:adjustRightInd w:val="0"/>
        <w:rPr>
          <w:rFonts w:ascii="Century Gothic" w:hAnsi="Century Gothic" w:cs="Arial"/>
          <w:b/>
          <w:bCs/>
          <w:sz w:val="28"/>
          <w:szCs w:val="28"/>
        </w:rPr>
      </w:pPr>
    </w:p>
    <w:p w:rsidR="007554F0" w:rsidRPr="00145DF5" w:rsidRDefault="007554F0" w:rsidP="00BE70D4">
      <w:pPr>
        <w:autoSpaceDE w:val="0"/>
        <w:autoSpaceDN w:val="0"/>
        <w:adjustRightInd w:val="0"/>
        <w:rPr>
          <w:rFonts w:ascii="Century Gothic" w:hAnsi="Century Gothic" w:cs="Arial"/>
          <w:sz w:val="28"/>
          <w:szCs w:val="28"/>
        </w:rPr>
      </w:pPr>
      <w:r w:rsidRPr="00145DF5">
        <w:rPr>
          <w:rFonts w:ascii="Century Gothic" w:hAnsi="Century Gothic" w:cs="Arial"/>
          <w:b/>
          <w:bCs/>
          <w:sz w:val="28"/>
          <w:szCs w:val="28"/>
        </w:rPr>
        <w:t xml:space="preserve">DETENTORA 2 </w:t>
      </w:r>
    </w:p>
    <w:p w:rsidR="007554F0" w:rsidRPr="00145DF5" w:rsidRDefault="007554F0" w:rsidP="00BE70D4">
      <w:pPr>
        <w:autoSpaceDE w:val="0"/>
        <w:autoSpaceDN w:val="0"/>
        <w:adjustRightInd w:val="0"/>
        <w:rPr>
          <w:rFonts w:ascii="Century Gothic" w:hAnsi="Century Gothic" w:cs="Arial"/>
          <w:sz w:val="28"/>
          <w:szCs w:val="28"/>
        </w:rPr>
      </w:pPr>
      <w:r w:rsidRPr="00145DF5">
        <w:rPr>
          <w:rFonts w:ascii="Century Gothic" w:hAnsi="Century Gothic" w:cs="Arial"/>
          <w:sz w:val="28"/>
          <w:szCs w:val="28"/>
        </w:rPr>
        <w:t xml:space="preserve">Denominação: .............................................. </w:t>
      </w:r>
    </w:p>
    <w:p w:rsidR="007554F0" w:rsidRPr="00145DF5" w:rsidRDefault="007554F0" w:rsidP="00BE70D4">
      <w:pPr>
        <w:autoSpaceDE w:val="0"/>
        <w:autoSpaceDN w:val="0"/>
        <w:adjustRightInd w:val="0"/>
        <w:rPr>
          <w:rFonts w:ascii="Century Gothic" w:hAnsi="Century Gothic" w:cs="Arial"/>
          <w:sz w:val="28"/>
          <w:szCs w:val="28"/>
        </w:rPr>
      </w:pPr>
      <w:r w:rsidRPr="00145DF5">
        <w:rPr>
          <w:rFonts w:ascii="Century Gothic" w:hAnsi="Century Gothic" w:cs="Arial"/>
          <w:sz w:val="28"/>
          <w:szCs w:val="28"/>
        </w:rPr>
        <w:t xml:space="preserve">Endereço: ..................................................... </w:t>
      </w:r>
    </w:p>
    <w:p w:rsidR="007554F0" w:rsidRPr="00145DF5" w:rsidRDefault="007554F0" w:rsidP="00BE70D4">
      <w:pPr>
        <w:autoSpaceDE w:val="0"/>
        <w:autoSpaceDN w:val="0"/>
        <w:adjustRightInd w:val="0"/>
        <w:rPr>
          <w:rFonts w:ascii="Century Gothic" w:hAnsi="Century Gothic" w:cs="Arial"/>
          <w:sz w:val="28"/>
          <w:szCs w:val="28"/>
        </w:rPr>
      </w:pPr>
      <w:r w:rsidRPr="00145DF5">
        <w:rPr>
          <w:rFonts w:ascii="Century Gothic" w:hAnsi="Century Gothic" w:cs="Arial"/>
          <w:sz w:val="28"/>
          <w:szCs w:val="28"/>
        </w:rPr>
        <w:t xml:space="preserve">CNPJ: ........................................................... </w:t>
      </w:r>
    </w:p>
    <w:p w:rsidR="007554F0" w:rsidRPr="00145DF5" w:rsidRDefault="007554F0" w:rsidP="00BE70D4">
      <w:pPr>
        <w:autoSpaceDE w:val="0"/>
        <w:autoSpaceDN w:val="0"/>
        <w:adjustRightInd w:val="0"/>
        <w:rPr>
          <w:rFonts w:ascii="Century Gothic" w:hAnsi="Century Gothic" w:cs="Arial"/>
          <w:sz w:val="28"/>
          <w:szCs w:val="28"/>
        </w:rPr>
      </w:pPr>
      <w:r w:rsidRPr="00145DF5">
        <w:rPr>
          <w:rFonts w:ascii="Century Gothic" w:hAnsi="Century Gothic" w:cs="Arial"/>
          <w:sz w:val="28"/>
          <w:szCs w:val="28"/>
        </w:rPr>
        <w:t xml:space="preserve">Representante Legal: ................................... </w:t>
      </w:r>
    </w:p>
    <w:p w:rsidR="007554F0" w:rsidRPr="00145DF5" w:rsidRDefault="007554F0" w:rsidP="00BE70D4">
      <w:pPr>
        <w:autoSpaceDE w:val="0"/>
        <w:autoSpaceDN w:val="0"/>
        <w:adjustRightInd w:val="0"/>
        <w:rPr>
          <w:rFonts w:ascii="Century Gothic" w:hAnsi="Century Gothic" w:cs="Arial"/>
          <w:sz w:val="28"/>
          <w:szCs w:val="28"/>
        </w:rPr>
      </w:pPr>
      <w:r w:rsidRPr="00145DF5">
        <w:rPr>
          <w:rFonts w:ascii="Century Gothic" w:hAnsi="Century Gothic" w:cs="Arial"/>
          <w:sz w:val="28"/>
          <w:szCs w:val="28"/>
        </w:rPr>
        <w:t xml:space="preserve">CPF: ............................................................. </w:t>
      </w:r>
    </w:p>
    <w:p w:rsidR="007554F0" w:rsidRPr="00145DF5" w:rsidRDefault="007554F0" w:rsidP="00BE70D4">
      <w:pPr>
        <w:pageBreakBefore/>
        <w:autoSpaceDE w:val="0"/>
        <w:autoSpaceDN w:val="0"/>
        <w:adjustRightInd w:val="0"/>
        <w:rPr>
          <w:rFonts w:ascii="Century Gothic" w:hAnsi="Century Gothic" w:cs="Arial"/>
          <w:sz w:val="28"/>
          <w:szCs w:val="28"/>
        </w:rPr>
      </w:pPr>
      <w:r w:rsidRPr="00145DF5">
        <w:rPr>
          <w:rFonts w:ascii="Century Gothic" w:hAnsi="Century Gothic" w:cs="Arial"/>
          <w:b/>
          <w:bCs/>
          <w:sz w:val="28"/>
          <w:szCs w:val="28"/>
        </w:rPr>
        <w:lastRenderedPageBreak/>
        <w:t xml:space="preserve">CLÁUSULA PRIMEIRA – OBJETO </w:t>
      </w:r>
    </w:p>
    <w:p w:rsidR="007554F0" w:rsidRPr="00145DF5" w:rsidRDefault="007554F0" w:rsidP="00BE70D4">
      <w:pPr>
        <w:autoSpaceDE w:val="0"/>
        <w:autoSpaceDN w:val="0"/>
        <w:adjustRightInd w:val="0"/>
        <w:jc w:val="both"/>
        <w:rPr>
          <w:rFonts w:ascii="Century Gothic" w:eastAsia="MS Mincho" w:hAnsi="Century Gothic" w:cs="Arial"/>
          <w:b/>
          <w:bCs/>
          <w:sz w:val="28"/>
          <w:szCs w:val="28"/>
        </w:rPr>
      </w:pPr>
    </w:p>
    <w:p w:rsidR="007554F0" w:rsidRDefault="007554F0" w:rsidP="002078E6">
      <w:pPr>
        <w:autoSpaceDE w:val="0"/>
        <w:autoSpaceDN w:val="0"/>
        <w:adjustRightInd w:val="0"/>
        <w:jc w:val="both"/>
        <w:rPr>
          <w:rFonts w:ascii="Century Gothic" w:hAnsi="Century Gothic" w:cs="Arial"/>
          <w:bCs/>
          <w:sz w:val="28"/>
          <w:szCs w:val="28"/>
        </w:rPr>
      </w:pPr>
      <w:r w:rsidRPr="00145DF5">
        <w:rPr>
          <w:rFonts w:ascii="Century Gothic" w:eastAsia="MS Mincho" w:hAnsi="Century Gothic" w:cs="Arial"/>
          <w:b/>
          <w:bCs/>
          <w:sz w:val="28"/>
          <w:szCs w:val="28"/>
        </w:rPr>
        <w:t xml:space="preserve">1.1 – </w:t>
      </w:r>
      <w:r w:rsidR="002078E6">
        <w:rPr>
          <w:rFonts w:ascii="Century Gothic" w:hAnsi="Century Gothic" w:cs="Arial"/>
          <w:bCs/>
          <w:sz w:val="28"/>
          <w:szCs w:val="28"/>
        </w:rPr>
        <w:t xml:space="preserve">Registro de Preços para a </w:t>
      </w:r>
      <w:r w:rsidR="002078E6" w:rsidRPr="007E1C15">
        <w:rPr>
          <w:rFonts w:ascii="Century Gothic" w:hAnsi="Century Gothic"/>
          <w:sz w:val="28"/>
          <w:szCs w:val="28"/>
        </w:rPr>
        <w:t xml:space="preserve">Aquisição de </w:t>
      </w:r>
      <w:r w:rsidR="002078E6">
        <w:rPr>
          <w:rFonts w:ascii="Century Gothic" w:hAnsi="Century Gothic"/>
          <w:sz w:val="28"/>
          <w:szCs w:val="28"/>
        </w:rPr>
        <w:t xml:space="preserve">Materiais de Laboratório, </w:t>
      </w:r>
      <w:r w:rsidR="002078E6" w:rsidRPr="00202367">
        <w:rPr>
          <w:rFonts w:ascii="Century Gothic" w:hAnsi="Century Gothic"/>
          <w:sz w:val="28"/>
          <w:szCs w:val="28"/>
        </w:rPr>
        <w:t>para o Centro de Saúde II “Doutor Jorge Meirelles da Rocha”, localizado na Rua Riachuelo n</w:t>
      </w:r>
      <w:r w:rsidR="002078E6" w:rsidRPr="00202367">
        <w:rPr>
          <w:rFonts w:ascii="Century Gothic" w:hAnsi="Century Gothic"/>
          <w:bCs/>
          <w:sz w:val="28"/>
          <w:szCs w:val="28"/>
        </w:rPr>
        <w:t>° 910 – Centro – Pirajuí – SP,</w:t>
      </w:r>
      <w:r w:rsidR="002078E6" w:rsidRPr="00202367">
        <w:rPr>
          <w:rFonts w:ascii="Century Gothic" w:hAnsi="Century Gothic"/>
          <w:sz w:val="28"/>
          <w:szCs w:val="28"/>
        </w:rPr>
        <w:t xml:space="preserve"> conforme especificações constantes do </w:t>
      </w:r>
      <w:r w:rsidR="002078E6" w:rsidRPr="00202367">
        <w:rPr>
          <w:rFonts w:ascii="Century Gothic" w:hAnsi="Century Gothic"/>
          <w:b/>
          <w:bCs/>
          <w:sz w:val="28"/>
          <w:szCs w:val="28"/>
        </w:rPr>
        <w:t>Anexo II – Memorial Descritivo</w:t>
      </w:r>
      <w:r w:rsidR="002078E6" w:rsidRPr="000B4352">
        <w:rPr>
          <w:rFonts w:ascii="Century Gothic" w:hAnsi="Century Gothic" w:cs="Arial"/>
          <w:bCs/>
          <w:sz w:val="28"/>
          <w:szCs w:val="28"/>
        </w:rPr>
        <w:t>.</w:t>
      </w:r>
    </w:p>
    <w:p w:rsidR="002078E6" w:rsidRPr="00145DF5" w:rsidRDefault="002078E6" w:rsidP="002078E6">
      <w:pPr>
        <w:autoSpaceDE w:val="0"/>
        <w:autoSpaceDN w:val="0"/>
        <w:adjustRightInd w:val="0"/>
        <w:jc w:val="both"/>
        <w:rPr>
          <w:rFonts w:ascii="Century Gothic" w:hAnsi="Century Gothic" w:cs="Arial"/>
          <w:b/>
          <w:bCs/>
          <w:sz w:val="28"/>
          <w:szCs w:val="28"/>
        </w:rPr>
      </w:pPr>
    </w:p>
    <w:p w:rsidR="007554F0" w:rsidRPr="00145DF5" w:rsidRDefault="00BE70D4" w:rsidP="00BE70D4">
      <w:pPr>
        <w:autoSpaceDE w:val="0"/>
        <w:autoSpaceDN w:val="0"/>
        <w:adjustRightInd w:val="0"/>
        <w:rPr>
          <w:rFonts w:ascii="Century Gothic" w:hAnsi="Century Gothic" w:cs="Arial"/>
          <w:sz w:val="28"/>
          <w:szCs w:val="28"/>
        </w:rPr>
      </w:pPr>
      <w:r w:rsidRPr="00145DF5">
        <w:rPr>
          <w:rFonts w:ascii="Century Gothic" w:hAnsi="Century Gothic" w:cs="Arial"/>
          <w:b/>
          <w:bCs/>
          <w:sz w:val="28"/>
          <w:szCs w:val="28"/>
        </w:rPr>
        <w:t xml:space="preserve">CLÁUSULA SEGUNDA – PRAZO DE VIGÊNCIA </w:t>
      </w:r>
    </w:p>
    <w:p w:rsidR="007554F0" w:rsidRPr="00145DF5" w:rsidRDefault="007554F0" w:rsidP="00BE70D4">
      <w:pPr>
        <w:autoSpaceDE w:val="0"/>
        <w:autoSpaceDN w:val="0"/>
        <w:adjustRightInd w:val="0"/>
        <w:rPr>
          <w:rFonts w:ascii="Century Gothic" w:eastAsia="MS Mincho" w:hAnsi="Century Gothic" w:cs="Arial"/>
          <w:b/>
          <w:bCs/>
          <w:sz w:val="28"/>
          <w:szCs w:val="28"/>
        </w:rPr>
      </w:pPr>
    </w:p>
    <w:p w:rsidR="007554F0" w:rsidRPr="00145DF5" w:rsidRDefault="007554F0" w:rsidP="00BE70D4">
      <w:pPr>
        <w:autoSpaceDE w:val="0"/>
        <w:autoSpaceDN w:val="0"/>
        <w:adjustRightInd w:val="0"/>
        <w:jc w:val="both"/>
        <w:rPr>
          <w:rFonts w:ascii="Century Gothic" w:hAnsi="Century Gothic" w:cs="Arial"/>
          <w:sz w:val="28"/>
          <w:szCs w:val="28"/>
        </w:rPr>
      </w:pPr>
      <w:r w:rsidRPr="00145DF5">
        <w:rPr>
          <w:rFonts w:ascii="Century Gothic" w:eastAsia="MS Mincho" w:hAnsi="Century Gothic" w:cs="Arial"/>
          <w:b/>
          <w:bCs/>
          <w:sz w:val="28"/>
          <w:szCs w:val="28"/>
        </w:rPr>
        <w:t xml:space="preserve">2.1 – </w:t>
      </w:r>
      <w:r w:rsidRPr="00145DF5">
        <w:rPr>
          <w:rFonts w:ascii="Century Gothic" w:hAnsi="Century Gothic" w:cs="Arial"/>
          <w:sz w:val="28"/>
          <w:szCs w:val="28"/>
        </w:rPr>
        <w:t xml:space="preserve">O prazo de vigência desta Ata de Registro de Preços é de </w:t>
      </w:r>
      <w:r w:rsidRPr="00145DF5">
        <w:rPr>
          <w:rFonts w:ascii="Century Gothic" w:hAnsi="Century Gothic" w:cs="Arial"/>
          <w:b/>
          <w:bCs/>
          <w:sz w:val="28"/>
          <w:szCs w:val="28"/>
        </w:rPr>
        <w:t xml:space="preserve">12 </w:t>
      </w:r>
      <w:r w:rsidRPr="00145DF5">
        <w:rPr>
          <w:rFonts w:ascii="Century Gothic" w:hAnsi="Century Gothic" w:cs="Arial"/>
          <w:sz w:val="28"/>
          <w:szCs w:val="28"/>
        </w:rPr>
        <w:t xml:space="preserve">(doze) </w:t>
      </w:r>
      <w:r w:rsidRPr="00145DF5">
        <w:rPr>
          <w:rFonts w:ascii="Century Gothic" w:hAnsi="Century Gothic" w:cs="Arial"/>
          <w:b/>
          <w:bCs/>
          <w:sz w:val="28"/>
          <w:szCs w:val="28"/>
        </w:rPr>
        <w:t>meses</w:t>
      </w:r>
      <w:r w:rsidRPr="00145DF5">
        <w:rPr>
          <w:rFonts w:ascii="Century Gothic" w:hAnsi="Century Gothic" w:cs="Arial"/>
          <w:sz w:val="28"/>
          <w:szCs w:val="28"/>
        </w:rPr>
        <w:t xml:space="preserve">, contados a partir da data de sua assinatura. </w:t>
      </w:r>
    </w:p>
    <w:p w:rsidR="007554F0" w:rsidRPr="00145DF5" w:rsidRDefault="007554F0" w:rsidP="00BE70D4">
      <w:pPr>
        <w:autoSpaceDE w:val="0"/>
        <w:autoSpaceDN w:val="0"/>
        <w:adjustRightInd w:val="0"/>
        <w:rPr>
          <w:rFonts w:ascii="Century Gothic" w:hAnsi="Century Gothic" w:cs="Arial"/>
          <w:b/>
          <w:bCs/>
          <w:sz w:val="28"/>
          <w:szCs w:val="28"/>
        </w:rPr>
      </w:pPr>
    </w:p>
    <w:p w:rsidR="007554F0" w:rsidRPr="00145DF5" w:rsidRDefault="007554F0" w:rsidP="00BE70D4">
      <w:pPr>
        <w:autoSpaceDE w:val="0"/>
        <w:autoSpaceDN w:val="0"/>
        <w:adjustRightInd w:val="0"/>
        <w:rPr>
          <w:rFonts w:ascii="Century Gothic" w:hAnsi="Century Gothic" w:cs="Arial"/>
          <w:sz w:val="28"/>
          <w:szCs w:val="28"/>
        </w:rPr>
      </w:pPr>
      <w:r w:rsidRPr="00145DF5">
        <w:rPr>
          <w:rFonts w:ascii="Century Gothic" w:hAnsi="Century Gothic" w:cs="Arial"/>
          <w:b/>
          <w:bCs/>
          <w:sz w:val="28"/>
          <w:szCs w:val="28"/>
        </w:rPr>
        <w:t xml:space="preserve">CLÁUSULA TERCEIRA – OBRIGAÇÕES DA DETENTORA </w:t>
      </w:r>
    </w:p>
    <w:p w:rsidR="007554F0" w:rsidRPr="00145DF5" w:rsidRDefault="007554F0" w:rsidP="00BE70D4">
      <w:pPr>
        <w:autoSpaceDE w:val="0"/>
        <w:autoSpaceDN w:val="0"/>
        <w:adjustRightInd w:val="0"/>
        <w:rPr>
          <w:rFonts w:ascii="Century Gothic" w:hAnsi="Century Gothic" w:cs="Arial"/>
          <w:b/>
          <w:bCs/>
          <w:sz w:val="28"/>
          <w:szCs w:val="28"/>
        </w:rPr>
      </w:pPr>
    </w:p>
    <w:p w:rsidR="007554F0" w:rsidRPr="00145DF5" w:rsidRDefault="007554F0"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3.1 – </w:t>
      </w:r>
      <w:r w:rsidRPr="00145DF5">
        <w:rPr>
          <w:rFonts w:ascii="Century Gothic" w:hAnsi="Century Gothic" w:cs="Arial"/>
          <w:sz w:val="28"/>
          <w:szCs w:val="28"/>
        </w:rPr>
        <w:t xml:space="preserve">Contratar com a Administração deste </w:t>
      </w:r>
      <w:r w:rsidRPr="00145DF5">
        <w:rPr>
          <w:rFonts w:ascii="Century Gothic" w:hAnsi="Century Gothic" w:cs="Arial"/>
          <w:b/>
          <w:bCs/>
          <w:sz w:val="28"/>
          <w:szCs w:val="28"/>
        </w:rPr>
        <w:t>MUNICÍPIO</w:t>
      </w:r>
      <w:r w:rsidRPr="00145DF5">
        <w:rPr>
          <w:rFonts w:ascii="Century Gothic" w:hAnsi="Century Gothic" w:cs="Arial"/>
          <w:sz w:val="28"/>
          <w:szCs w:val="28"/>
        </w:rPr>
        <w:t xml:space="preserve">, nas condições previstas no Edital do </w:t>
      </w:r>
      <w:r w:rsidR="00007614" w:rsidRPr="00145DF5">
        <w:rPr>
          <w:rFonts w:ascii="Century Gothic" w:hAnsi="Century Gothic" w:cs="Arial"/>
          <w:b/>
          <w:bCs/>
          <w:sz w:val="28"/>
          <w:szCs w:val="28"/>
        </w:rPr>
        <w:t xml:space="preserve">PREGÃO (PRESENCIAL) N° </w:t>
      </w:r>
      <w:r w:rsidR="00ED459C" w:rsidRPr="00145DF5">
        <w:rPr>
          <w:rFonts w:ascii="Century Gothic" w:hAnsi="Century Gothic" w:cs="Arial"/>
          <w:b/>
          <w:bCs/>
          <w:sz w:val="28"/>
          <w:szCs w:val="28"/>
        </w:rPr>
        <w:t>00</w:t>
      </w:r>
      <w:r w:rsidR="002078E6">
        <w:rPr>
          <w:rFonts w:ascii="Century Gothic" w:hAnsi="Century Gothic" w:cs="Arial"/>
          <w:b/>
          <w:bCs/>
          <w:sz w:val="28"/>
          <w:szCs w:val="28"/>
        </w:rPr>
        <w:t>6</w:t>
      </w:r>
      <w:r w:rsidR="00ED459C" w:rsidRPr="00145DF5">
        <w:rPr>
          <w:rFonts w:ascii="Century Gothic" w:hAnsi="Century Gothic" w:cs="Arial"/>
          <w:b/>
          <w:bCs/>
          <w:sz w:val="28"/>
          <w:szCs w:val="28"/>
        </w:rPr>
        <w:t>/2017</w:t>
      </w:r>
      <w:r w:rsidRPr="00145DF5">
        <w:rPr>
          <w:rFonts w:ascii="Century Gothic" w:hAnsi="Century Gothic" w:cs="Arial"/>
          <w:sz w:val="28"/>
          <w:szCs w:val="28"/>
        </w:rPr>
        <w:t xml:space="preserve"> e o preço registrado nesta Ata, os </w:t>
      </w:r>
      <w:r w:rsidR="00C60AED">
        <w:rPr>
          <w:rFonts w:ascii="Century Gothic" w:hAnsi="Century Gothic"/>
          <w:sz w:val="28"/>
          <w:szCs w:val="28"/>
        </w:rPr>
        <w:t>materiais</w:t>
      </w:r>
      <w:r w:rsidRPr="00145DF5">
        <w:rPr>
          <w:rFonts w:ascii="Century Gothic" w:hAnsi="Century Gothic" w:cs="Arial"/>
          <w:sz w:val="28"/>
          <w:szCs w:val="28"/>
        </w:rPr>
        <w:t xml:space="preserve"> objeto deste ajuste. </w:t>
      </w:r>
    </w:p>
    <w:p w:rsidR="007554F0" w:rsidRPr="00145DF5" w:rsidRDefault="007554F0" w:rsidP="00BE70D4">
      <w:pPr>
        <w:autoSpaceDE w:val="0"/>
        <w:autoSpaceDN w:val="0"/>
        <w:adjustRightInd w:val="0"/>
        <w:jc w:val="both"/>
        <w:rPr>
          <w:rFonts w:ascii="Century Gothic" w:hAnsi="Century Gothic" w:cs="Arial"/>
          <w:sz w:val="28"/>
          <w:szCs w:val="28"/>
        </w:rPr>
      </w:pPr>
    </w:p>
    <w:p w:rsidR="007554F0" w:rsidRPr="00145DF5" w:rsidRDefault="007554F0"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3.2 </w:t>
      </w:r>
      <w:r w:rsidRPr="00145DF5">
        <w:rPr>
          <w:rFonts w:ascii="Century Gothic" w:hAnsi="Century Gothic" w:cs="Arial"/>
          <w:b/>
          <w:sz w:val="28"/>
          <w:szCs w:val="28"/>
        </w:rPr>
        <w:t xml:space="preserve">– </w:t>
      </w:r>
      <w:r w:rsidRPr="00145DF5">
        <w:rPr>
          <w:rFonts w:ascii="Century Gothic" w:hAnsi="Century Gothic" w:cs="Arial"/>
          <w:sz w:val="28"/>
          <w:szCs w:val="28"/>
        </w:rPr>
        <w:t xml:space="preserve">Manter-se durante toda a vigência deste Registro de Preços, em compatibilidade com as obrigações assumidas, todas as condições de habilitação e qualificação exigidas na licitação </w:t>
      </w:r>
    </w:p>
    <w:p w:rsidR="007554F0" w:rsidRPr="00145DF5" w:rsidRDefault="007554F0" w:rsidP="00BE70D4">
      <w:pPr>
        <w:autoSpaceDE w:val="0"/>
        <w:autoSpaceDN w:val="0"/>
        <w:adjustRightInd w:val="0"/>
        <w:rPr>
          <w:rFonts w:ascii="Century Gothic" w:hAnsi="Century Gothic" w:cs="Arial"/>
          <w:b/>
          <w:bCs/>
          <w:sz w:val="28"/>
          <w:szCs w:val="28"/>
        </w:rPr>
      </w:pPr>
    </w:p>
    <w:p w:rsidR="007554F0" w:rsidRPr="00145DF5" w:rsidRDefault="007554F0" w:rsidP="00BE70D4">
      <w:pPr>
        <w:autoSpaceDE w:val="0"/>
        <w:autoSpaceDN w:val="0"/>
        <w:adjustRightInd w:val="0"/>
        <w:rPr>
          <w:rFonts w:ascii="Century Gothic" w:hAnsi="Century Gothic" w:cs="Arial"/>
          <w:b/>
          <w:bCs/>
          <w:sz w:val="28"/>
          <w:szCs w:val="28"/>
        </w:rPr>
      </w:pPr>
      <w:r w:rsidRPr="00145DF5">
        <w:rPr>
          <w:rFonts w:ascii="Century Gothic" w:hAnsi="Century Gothic" w:cs="Arial"/>
          <w:b/>
          <w:bCs/>
          <w:sz w:val="28"/>
          <w:szCs w:val="28"/>
        </w:rPr>
        <w:t>CLÁUSULA QUARTA – OBRIGAÇÕES DO MUNICÍPIO</w:t>
      </w:r>
    </w:p>
    <w:p w:rsidR="007554F0" w:rsidRPr="00145DF5" w:rsidRDefault="007554F0" w:rsidP="00BE70D4">
      <w:pPr>
        <w:autoSpaceDE w:val="0"/>
        <w:autoSpaceDN w:val="0"/>
        <w:adjustRightInd w:val="0"/>
        <w:rPr>
          <w:rFonts w:ascii="Century Gothic" w:hAnsi="Century Gothic" w:cs="Arial"/>
          <w:sz w:val="28"/>
          <w:szCs w:val="28"/>
        </w:rPr>
      </w:pPr>
    </w:p>
    <w:p w:rsidR="007554F0" w:rsidRPr="00145DF5" w:rsidRDefault="007554F0"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4.1</w:t>
      </w:r>
      <w:r w:rsidR="00BE70D4" w:rsidRPr="00145DF5">
        <w:rPr>
          <w:rFonts w:ascii="Century Gothic" w:hAnsi="Century Gothic" w:cs="Arial"/>
          <w:b/>
          <w:bCs/>
          <w:sz w:val="28"/>
          <w:szCs w:val="28"/>
        </w:rPr>
        <w:t xml:space="preserve"> </w:t>
      </w:r>
      <w:r w:rsidR="00BE70D4" w:rsidRPr="00145DF5">
        <w:rPr>
          <w:rFonts w:ascii="Century Gothic" w:hAnsi="Century Gothic" w:cs="Arial"/>
          <w:b/>
          <w:sz w:val="28"/>
          <w:szCs w:val="28"/>
        </w:rPr>
        <w:t>–</w:t>
      </w:r>
      <w:r w:rsidRPr="00145DF5">
        <w:rPr>
          <w:rFonts w:ascii="Century Gothic" w:hAnsi="Century Gothic" w:cs="Arial"/>
          <w:sz w:val="28"/>
          <w:szCs w:val="28"/>
        </w:rPr>
        <w:t xml:space="preserve"> Indicar o funcionário responsável pelo acompanhamento deste Registro de Preços. </w:t>
      </w:r>
    </w:p>
    <w:p w:rsidR="00BE70D4" w:rsidRPr="00145DF5" w:rsidRDefault="00BE70D4" w:rsidP="00BE70D4">
      <w:pPr>
        <w:autoSpaceDE w:val="0"/>
        <w:autoSpaceDN w:val="0"/>
        <w:adjustRightInd w:val="0"/>
        <w:jc w:val="both"/>
        <w:rPr>
          <w:rFonts w:ascii="Century Gothic" w:hAnsi="Century Gothic" w:cs="Arial"/>
          <w:sz w:val="28"/>
          <w:szCs w:val="28"/>
        </w:rPr>
      </w:pPr>
    </w:p>
    <w:p w:rsidR="007554F0" w:rsidRPr="00145DF5" w:rsidRDefault="007554F0"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4.2</w:t>
      </w:r>
      <w:r w:rsidR="00BE70D4" w:rsidRPr="00145DF5">
        <w:rPr>
          <w:rFonts w:ascii="Century Gothic" w:hAnsi="Century Gothic" w:cs="Arial"/>
          <w:b/>
          <w:bCs/>
          <w:sz w:val="28"/>
          <w:szCs w:val="28"/>
        </w:rPr>
        <w:t xml:space="preserve"> </w:t>
      </w:r>
      <w:r w:rsidR="00BE70D4" w:rsidRPr="00145DF5">
        <w:rPr>
          <w:rFonts w:ascii="Century Gothic" w:hAnsi="Century Gothic" w:cs="Arial"/>
          <w:b/>
          <w:sz w:val="28"/>
          <w:szCs w:val="28"/>
        </w:rPr>
        <w:t>–</w:t>
      </w:r>
      <w:r w:rsidRPr="00145DF5">
        <w:rPr>
          <w:rFonts w:ascii="Century Gothic" w:hAnsi="Century Gothic" w:cs="Arial"/>
          <w:b/>
          <w:sz w:val="28"/>
          <w:szCs w:val="28"/>
        </w:rPr>
        <w:t xml:space="preserve"> </w:t>
      </w:r>
      <w:r w:rsidRPr="00145DF5">
        <w:rPr>
          <w:rFonts w:ascii="Century Gothic" w:hAnsi="Century Gothic" w:cs="Arial"/>
          <w:sz w:val="28"/>
          <w:szCs w:val="28"/>
        </w:rPr>
        <w:t xml:space="preserve">Comunicar à </w:t>
      </w:r>
      <w:r w:rsidRPr="00145DF5">
        <w:rPr>
          <w:rFonts w:ascii="Century Gothic" w:hAnsi="Century Gothic" w:cs="Arial"/>
          <w:b/>
          <w:bCs/>
          <w:sz w:val="28"/>
          <w:szCs w:val="28"/>
        </w:rPr>
        <w:t xml:space="preserve">DETENTORA </w:t>
      </w:r>
      <w:r w:rsidRPr="00145DF5">
        <w:rPr>
          <w:rFonts w:ascii="Century Gothic" w:hAnsi="Century Gothic" w:cs="Arial"/>
          <w:sz w:val="28"/>
          <w:szCs w:val="28"/>
        </w:rPr>
        <w:t>sobre qualquer irregularidade no</w:t>
      </w:r>
      <w:r w:rsidR="00BE70D4" w:rsidRPr="00145DF5">
        <w:rPr>
          <w:rFonts w:ascii="Century Gothic" w:hAnsi="Century Gothic" w:cs="Arial"/>
          <w:sz w:val="28"/>
          <w:szCs w:val="28"/>
        </w:rPr>
        <w:t xml:space="preserve"> </w:t>
      </w:r>
      <w:r w:rsidRPr="00145DF5">
        <w:rPr>
          <w:rFonts w:ascii="Century Gothic" w:hAnsi="Century Gothic" w:cs="Arial"/>
          <w:sz w:val="28"/>
          <w:szCs w:val="28"/>
        </w:rPr>
        <w:t>fornecimento do</w:t>
      </w:r>
      <w:r w:rsidR="00555334" w:rsidRPr="00145DF5">
        <w:rPr>
          <w:rFonts w:ascii="Century Gothic" w:hAnsi="Century Gothic" w:cs="Arial"/>
          <w:sz w:val="28"/>
          <w:szCs w:val="28"/>
        </w:rPr>
        <w:t>s</w:t>
      </w:r>
      <w:r w:rsidRPr="00145DF5">
        <w:rPr>
          <w:rFonts w:ascii="Century Gothic" w:hAnsi="Century Gothic" w:cs="Arial"/>
          <w:sz w:val="28"/>
          <w:szCs w:val="28"/>
        </w:rPr>
        <w:t xml:space="preserve"> </w:t>
      </w:r>
      <w:r w:rsidR="00C60AED">
        <w:rPr>
          <w:rFonts w:ascii="Century Gothic" w:hAnsi="Century Gothic"/>
          <w:sz w:val="28"/>
          <w:szCs w:val="28"/>
        </w:rPr>
        <w:t>materiais</w:t>
      </w:r>
      <w:r w:rsidRPr="00145DF5">
        <w:rPr>
          <w:rFonts w:ascii="Century Gothic" w:hAnsi="Century Gothic" w:cs="Arial"/>
          <w:sz w:val="28"/>
          <w:szCs w:val="28"/>
        </w:rPr>
        <w:t xml:space="preserve">. </w:t>
      </w:r>
    </w:p>
    <w:p w:rsidR="007554F0" w:rsidRPr="00145DF5" w:rsidRDefault="007554F0" w:rsidP="00BE70D4">
      <w:pPr>
        <w:autoSpaceDE w:val="0"/>
        <w:autoSpaceDN w:val="0"/>
        <w:adjustRightInd w:val="0"/>
        <w:rPr>
          <w:rFonts w:ascii="Century Gothic" w:hAnsi="Century Gothic" w:cs="Arial"/>
          <w:b/>
          <w:bCs/>
          <w:sz w:val="28"/>
          <w:szCs w:val="28"/>
        </w:rPr>
      </w:pPr>
    </w:p>
    <w:p w:rsidR="007554F0" w:rsidRPr="00145DF5" w:rsidRDefault="007554F0" w:rsidP="00BE70D4">
      <w:pPr>
        <w:autoSpaceDE w:val="0"/>
        <w:autoSpaceDN w:val="0"/>
        <w:adjustRightInd w:val="0"/>
        <w:rPr>
          <w:rFonts w:ascii="Century Gothic" w:hAnsi="Century Gothic" w:cs="Arial"/>
          <w:b/>
          <w:bCs/>
          <w:sz w:val="28"/>
          <w:szCs w:val="28"/>
        </w:rPr>
      </w:pPr>
      <w:r w:rsidRPr="00145DF5">
        <w:rPr>
          <w:rFonts w:ascii="Century Gothic" w:hAnsi="Century Gothic" w:cs="Arial"/>
          <w:b/>
          <w:bCs/>
          <w:sz w:val="28"/>
          <w:szCs w:val="28"/>
        </w:rPr>
        <w:t xml:space="preserve">CLÁUSULA QUINTA – SANÇÕES </w:t>
      </w:r>
    </w:p>
    <w:p w:rsidR="00BE70D4" w:rsidRPr="00145DF5" w:rsidRDefault="00BE70D4" w:rsidP="00BE70D4">
      <w:pPr>
        <w:autoSpaceDE w:val="0"/>
        <w:autoSpaceDN w:val="0"/>
        <w:adjustRightInd w:val="0"/>
        <w:rPr>
          <w:rFonts w:ascii="Century Gothic" w:hAnsi="Century Gothic" w:cs="Arial"/>
          <w:sz w:val="28"/>
          <w:szCs w:val="28"/>
        </w:rPr>
      </w:pPr>
    </w:p>
    <w:p w:rsidR="007554F0" w:rsidRPr="00145DF5" w:rsidRDefault="00BE70D4"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5.1 </w:t>
      </w:r>
      <w:r w:rsidRPr="00145DF5">
        <w:rPr>
          <w:rFonts w:ascii="Century Gothic" w:hAnsi="Century Gothic" w:cs="Arial"/>
          <w:b/>
          <w:sz w:val="28"/>
          <w:szCs w:val="28"/>
        </w:rPr>
        <w:t xml:space="preserve">– </w:t>
      </w:r>
      <w:r w:rsidR="007554F0" w:rsidRPr="00145DF5">
        <w:rPr>
          <w:rFonts w:ascii="Century Gothic" w:hAnsi="Century Gothic" w:cs="Arial"/>
          <w:sz w:val="28"/>
          <w:szCs w:val="28"/>
        </w:rPr>
        <w:t xml:space="preserve">Aplicam-se a esta Ata de Registro de Preços e aos contratos decorrentes as sanções estipuladas na Lei Federal nº. 10.520, de 17 de julho de 2002, que a </w:t>
      </w:r>
      <w:r w:rsidR="007554F0" w:rsidRPr="00145DF5">
        <w:rPr>
          <w:rFonts w:ascii="Century Gothic" w:hAnsi="Century Gothic" w:cs="Arial"/>
          <w:b/>
          <w:bCs/>
          <w:sz w:val="28"/>
          <w:szCs w:val="28"/>
        </w:rPr>
        <w:t xml:space="preserve">DETENTORA </w:t>
      </w:r>
      <w:r w:rsidR="007554F0" w:rsidRPr="00145DF5">
        <w:rPr>
          <w:rFonts w:ascii="Century Gothic" w:hAnsi="Century Gothic" w:cs="Arial"/>
          <w:sz w:val="28"/>
          <w:szCs w:val="28"/>
        </w:rPr>
        <w:t xml:space="preserve">declara conhecer integralmente. </w:t>
      </w:r>
    </w:p>
    <w:p w:rsidR="007554F0" w:rsidRPr="00145DF5" w:rsidRDefault="007554F0" w:rsidP="00BE70D4">
      <w:pPr>
        <w:autoSpaceDE w:val="0"/>
        <w:autoSpaceDN w:val="0"/>
        <w:adjustRightInd w:val="0"/>
        <w:rPr>
          <w:rFonts w:ascii="Century Gothic" w:hAnsi="Century Gothic" w:cs="Arial"/>
          <w:b/>
          <w:bCs/>
          <w:sz w:val="28"/>
          <w:szCs w:val="28"/>
        </w:rPr>
      </w:pPr>
    </w:p>
    <w:p w:rsidR="00BE70D4" w:rsidRPr="00145DF5" w:rsidRDefault="00BE70D4" w:rsidP="00BE70D4">
      <w:pPr>
        <w:autoSpaceDE w:val="0"/>
        <w:autoSpaceDN w:val="0"/>
        <w:adjustRightInd w:val="0"/>
        <w:rPr>
          <w:rFonts w:ascii="Century Gothic" w:hAnsi="Century Gothic" w:cs="Arial"/>
          <w:b/>
          <w:bCs/>
          <w:sz w:val="28"/>
          <w:szCs w:val="28"/>
        </w:rPr>
      </w:pPr>
    </w:p>
    <w:p w:rsidR="007554F0" w:rsidRPr="00145DF5" w:rsidRDefault="007554F0" w:rsidP="00BE70D4">
      <w:pPr>
        <w:autoSpaceDE w:val="0"/>
        <w:autoSpaceDN w:val="0"/>
        <w:adjustRightInd w:val="0"/>
        <w:rPr>
          <w:rFonts w:ascii="Century Gothic" w:hAnsi="Century Gothic" w:cs="Arial"/>
          <w:sz w:val="28"/>
          <w:szCs w:val="28"/>
        </w:rPr>
      </w:pPr>
      <w:r w:rsidRPr="00145DF5">
        <w:rPr>
          <w:rFonts w:ascii="Century Gothic" w:hAnsi="Century Gothic" w:cs="Arial"/>
          <w:b/>
          <w:bCs/>
          <w:sz w:val="28"/>
          <w:szCs w:val="28"/>
        </w:rPr>
        <w:lastRenderedPageBreak/>
        <w:t xml:space="preserve">CLÁUSULA SEXTA – DISPOSIÇÕES GERAIS </w:t>
      </w:r>
    </w:p>
    <w:p w:rsidR="00BE70D4" w:rsidRPr="00145DF5" w:rsidRDefault="00BE70D4" w:rsidP="00BE70D4">
      <w:pPr>
        <w:autoSpaceDE w:val="0"/>
        <w:autoSpaceDN w:val="0"/>
        <w:adjustRightInd w:val="0"/>
        <w:rPr>
          <w:rFonts w:ascii="Century Gothic" w:hAnsi="Century Gothic" w:cs="Arial"/>
          <w:b/>
          <w:bCs/>
          <w:sz w:val="28"/>
          <w:szCs w:val="28"/>
        </w:rPr>
      </w:pPr>
    </w:p>
    <w:p w:rsidR="007554F0" w:rsidRPr="00145DF5" w:rsidRDefault="007554F0"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6.1</w:t>
      </w:r>
      <w:r w:rsidR="00BE70D4" w:rsidRPr="00145DF5">
        <w:rPr>
          <w:rFonts w:ascii="Century Gothic" w:hAnsi="Century Gothic" w:cs="Arial"/>
          <w:b/>
          <w:bCs/>
          <w:sz w:val="28"/>
          <w:szCs w:val="28"/>
        </w:rPr>
        <w:t xml:space="preserve"> </w:t>
      </w:r>
      <w:r w:rsidR="00BE70D4" w:rsidRPr="00145DF5">
        <w:rPr>
          <w:rFonts w:ascii="Century Gothic" w:hAnsi="Century Gothic" w:cs="Arial"/>
          <w:b/>
          <w:sz w:val="28"/>
          <w:szCs w:val="28"/>
        </w:rPr>
        <w:t>–</w:t>
      </w:r>
      <w:r w:rsidRPr="00145DF5">
        <w:rPr>
          <w:rFonts w:ascii="Century Gothic" w:hAnsi="Century Gothic" w:cs="Arial"/>
          <w:b/>
          <w:sz w:val="28"/>
          <w:szCs w:val="28"/>
        </w:rPr>
        <w:t xml:space="preserve"> </w:t>
      </w:r>
      <w:r w:rsidRPr="00145DF5">
        <w:rPr>
          <w:rFonts w:ascii="Century Gothic" w:hAnsi="Century Gothic" w:cs="Arial"/>
          <w:sz w:val="28"/>
          <w:szCs w:val="28"/>
        </w:rPr>
        <w:t xml:space="preserve">Considera-se parte integrante deste ajuste, como se nele estivessem transcritos, o </w:t>
      </w:r>
      <w:r w:rsidR="00BE70D4" w:rsidRPr="00145DF5">
        <w:rPr>
          <w:rFonts w:ascii="Century Gothic" w:hAnsi="Century Gothic" w:cs="Arial"/>
          <w:sz w:val="28"/>
          <w:szCs w:val="28"/>
        </w:rPr>
        <w:t xml:space="preserve">Edital do </w:t>
      </w:r>
      <w:r w:rsidR="00BE70D4" w:rsidRPr="00145DF5">
        <w:rPr>
          <w:rFonts w:ascii="Century Gothic" w:hAnsi="Century Gothic" w:cs="Arial"/>
          <w:b/>
          <w:bCs/>
          <w:sz w:val="28"/>
          <w:szCs w:val="28"/>
        </w:rPr>
        <w:t xml:space="preserve">PREGÃO </w:t>
      </w:r>
      <w:r w:rsidR="00007614" w:rsidRPr="00145DF5">
        <w:rPr>
          <w:rFonts w:ascii="Century Gothic" w:hAnsi="Century Gothic" w:cs="Arial"/>
          <w:b/>
          <w:bCs/>
          <w:sz w:val="28"/>
          <w:szCs w:val="28"/>
        </w:rPr>
        <w:t xml:space="preserve">(PRESENCIAL) N° </w:t>
      </w:r>
      <w:r w:rsidR="00ED459C" w:rsidRPr="00145DF5">
        <w:rPr>
          <w:rFonts w:ascii="Century Gothic" w:hAnsi="Century Gothic" w:cs="Arial"/>
          <w:b/>
          <w:bCs/>
          <w:sz w:val="28"/>
          <w:szCs w:val="28"/>
        </w:rPr>
        <w:t>00</w:t>
      </w:r>
      <w:r w:rsidR="002078E6">
        <w:rPr>
          <w:rFonts w:ascii="Century Gothic" w:hAnsi="Century Gothic" w:cs="Arial"/>
          <w:b/>
          <w:bCs/>
          <w:sz w:val="28"/>
          <w:szCs w:val="28"/>
        </w:rPr>
        <w:t>6</w:t>
      </w:r>
      <w:r w:rsidR="00ED459C" w:rsidRPr="00145DF5">
        <w:rPr>
          <w:rFonts w:ascii="Century Gothic" w:hAnsi="Century Gothic" w:cs="Arial"/>
          <w:b/>
          <w:bCs/>
          <w:sz w:val="28"/>
          <w:szCs w:val="28"/>
        </w:rPr>
        <w:t>/2017</w:t>
      </w:r>
      <w:r w:rsidRPr="00145DF5">
        <w:rPr>
          <w:rFonts w:ascii="Century Gothic" w:hAnsi="Century Gothic" w:cs="Arial"/>
          <w:sz w:val="28"/>
          <w:szCs w:val="28"/>
        </w:rPr>
        <w:t xml:space="preserve"> com seus Anexos e a(s) proposta(s) da(s) </w:t>
      </w:r>
      <w:r w:rsidRPr="00145DF5">
        <w:rPr>
          <w:rFonts w:ascii="Century Gothic" w:hAnsi="Century Gothic" w:cs="Arial"/>
          <w:b/>
          <w:bCs/>
          <w:sz w:val="28"/>
          <w:szCs w:val="28"/>
        </w:rPr>
        <w:t>DETENTORA(S)</w:t>
      </w:r>
      <w:r w:rsidRPr="00145DF5">
        <w:rPr>
          <w:rFonts w:ascii="Century Gothic" w:hAnsi="Century Gothic" w:cs="Arial"/>
          <w:sz w:val="28"/>
          <w:szCs w:val="28"/>
        </w:rPr>
        <w:t xml:space="preserve">; </w:t>
      </w:r>
    </w:p>
    <w:p w:rsidR="00BE70D4" w:rsidRPr="00145DF5" w:rsidRDefault="00BE70D4" w:rsidP="00BE70D4">
      <w:pPr>
        <w:autoSpaceDE w:val="0"/>
        <w:autoSpaceDN w:val="0"/>
        <w:adjustRightInd w:val="0"/>
        <w:jc w:val="both"/>
        <w:rPr>
          <w:rFonts w:ascii="Century Gothic" w:hAnsi="Century Gothic" w:cs="Arial"/>
          <w:sz w:val="28"/>
          <w:szCs w:val="28"/>
        </w:rPr>
      </w:pPr>
    </w:p>
    <w:p w:rsidR="007554F0" w:rsidRPr="00145DF5" w:rsidRDefault="007554F0"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6.2</w:t>
      </w:r>
      <w:r w:rsidR="00BE70D4" w:rsidRPr="00145DF5">
        <w:rPr>
          <w:rFonts w:ascii="Century Gothic" w:hAnsi="Century Gothic" w:cs="Arial"/>
          <w:b/>
          <w:bCs/>
          <w:sz w:val="28"/>
          <w:szCs w:val="28"/>
        </w:rPr>
        <w:t xml:space="preserve"> </w:t>
      </w:r>
      <w:r w:rsidR="00BE70D4" w:rsidRPr="00145DF5">
        <w:rPr>
          <w:rFonts w:ascii="Century Gothic" w:hAnsi="Century Gothic" w:cs="Arial"/>
          <w:b/>
          <w:sz w:val="28"/>
          <w:szCs w:val="28"/>
        </w:rPr>
        <w:t>–</w:t>
      </w:r>
      <w:r w:rsidRPr="00145DF5">
        <w:rPr>
          <w:rFonts w:ascii="Century Gothic" w:hAnsi="Century Gothic" w:cs="Arial"/>
          <w:b/>
          <w:sz w:val="28"/>
          <w:szCs w:val="28"/>
        </w:rPr>
        <w:t xml:space="preserve"> </w:t>
      </w:r>
      <w:r w:rsidRPr="00145DF5">
        <w:rPr>
          <w:rFonts w:ascii="Century Gothic" w:hAnsi="Century Gothic" w:cs="Arial"/>
          <w:sz w:val="28"/>
          <w:szCs w:val="28"/>
        </w:rPr>
        <w:t xml:space="preserve">A existência de preços registrados não obriga o </w:t>
      </w:r>
      <w:r w:rsidR="00BE70D4" w:rsidRPr="00145DF5">
        <w:rPr>
          <w:rFonts w:ascii="Century Gothic" w:hAnsi="Century Gothic" w:cs="Arial"/>
          <w:b/>
          <w:bCs/>
          <w:sz w:val="28"/>
          <w:szCs w:val="28"/>
        </w:rPr>
        <w:t>MUNICÍPIO</w:t>
      </w:r>
      <w:r w:rsidRPr="00145DF5">
        <w:rPr>
          <w:rFonts w:ascii="Century Gothic" w:hAnsi="Century Gothic" w:cs="Arial"/>
          <w:b/>
          <w:bCs/>
          <w:sz w:val="28"/>
          <w:szCs w:val="28"/>
        </w:rPr>
        <w:t xml:space="preserve"> </w:t>
      </w:r>
      <w:r w:rsidRPr="00145DF5">
        <w:rPr>
          <w:rFonts w:ascii="Century Gothic" w:hAnsi="Century Gothic" w:cs="Arial"/>
          <w:sz w:val="28"/>
          <w:szCs w:val="28"/>
        </w:rPr>
        <w:t xml:space="preserve">a firmar as contratações que deles poderão advir. </w:t>
      </w:r>
    </w:p>
    <w:p w:rsidR="007554F0" w:rsidRPr="00145DF5" w:rsidRDefault="007554F0" w:rsidP="00BE70D4">
      <w:pPr>
        <w:autoSpaceDE w:val="0"/>
        <w:autoSpaceDN w:val="0"/>
        <w:adjustRightInd w:val="0"/>
        <w:rPr>
          <w:rFonts w:ascii="Century Gothic" w:hAnsi="Century Gothic" w:cs="Arial"/>
          <w:b/>
          <w:bCs/>
          <w:sz w:val="28"/>
          <w:szCs w:val="28"/>
        </w:rPr>
      </w:pPr>
    </w:p>
    <w:p w:rsidR="007554F0" w:rsidRPr="00145DF5" w:rsidRDefault="007554F0" w:rsidP="00BE70D4">
      <w:pPr>
        <w:autoSpaceDE w:val="0"/>
        <w:autoSpaceDN w:val="0"/>
        <w:adjustRightInd w:val="0"/>
        <w:rPr>
          <w:rFonts w:ascii="Century Gothic" w:hAnsi="Century Gothic" w:cs="Arial"/>
          <w:sz w:val="28"/>
          <w:szCs w:val="28"/>
        </w:rPr>
      </w:pPr>
      <w:r w:rsidRPr="00145DF5">
        <w:rPr>
          <w:rFonts w:ascii="Century Gothic" w:hAnsi="Century Gothic" w:cs="Arial"/>
          <w:b/>
          <w:bCs/>
          <w:sz w:val="28"/>
          <w:szCs w:val="28"/>
        </w:rPr>
        <w:t xml:space="preserve">CLÁUSULA SÉTIMA – FORO </w:t>
      </w:r>
    </w:p>
    <w:p w:rsidR="00BE70D4" w:rsidRPr="00145DF5" w:rsidRDefault="00BE70D4" w:rsidP="00BE70D4">
      <w:pPr>
        <w:autoSpaceDE w:val="0"/>
        <w:autoSpaceDN w:val="0"/>
        <w:adjustRightInd w:val="0"/>
        <w:rPr>
          <w:rFonts w:ascii="Century Gothic" w:hAnsi="Century Gothic" w:cs="Arial"/>
          <w:b/>
          <w:bCs/>
          <w:sz w:val="28"/>
          <w:szCs w:val="28"/>
        </w:rPr>
      </w:pPr>
    </w:p>
    <w:p w:rsidR="007554F0" w:rsidRPr="00145DF5" w:rsidRDefault="007554F0"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7.1</w:t>
      </w:r>
      <w:r w:rsidR="00BE70D4" w:rsidRPr="00145DF5">
        <w:rPr>
          <w:rFonts w:ascii="Century Gothic" w:hAnsi="Century Gothic" w:cs="Arial"/>
          <w:b/>
          <w:bCs/>
          <w:sz w:val="28"/>
          <w:szCs w:val="28"/>
        </w:rPr>
        <w:t xml:space="preserve"> </w:t>
      </w:r>
      <w:r w:rsidR="00BE70D4" w:rsidRPr="00145DF5">
        <w:rPr>
          <w:rFonts w:ascii="Century Gothic" w:hAnsi="Century Gothic" w:cs="Arial"/>
          <w:b/>
          <w:sz w:val="28"/>
          <w:szCs w:val="28"/>
        </w:rPr>
        <w:t>–</w:t>
      </w:r>
      <w:r w:rsidRPr="00145DF5">
        <w:rPr>
          <w:rFonts w:ascii="Century Gothic" w:hAnsi="Century Gothic" w:cs="Arial"/>
          <w:b/>
          <w:sz w:val="28"/>
          <w:szCs w:val="28"/>
        </w:rPr>
        <w:t xml:space="preserve"> </w:t>
      </w:r>
      <w:r w:rsidRPr="00145DF5">
        <w:rPr>
          <w:rFonts w:ascii="Century Gothic" w:hAnsi="Century Gothic" w:cs="Arial"/>
          <w:sz w:val="28"/>
          <w:szCs w:val="28"/>
        </w:rPr>
        <w:t xml:space="preserve">O foro competente para toda e qualquer ação decorrente da presente </w:t>
      </w:r>
      <w:r w:rsidR="00BE70D4" w:rsidRPr="00145DF5">
        <w:rPr>
          <w:rFonts w:ascii="Century Gothic" w:hAnsi="Century Gothic" w:cs="Arial"/>
          <w:sz w:val="28"/>
          <w:szCs w:val="28"/>
        </w:rPr>
        <w:t xml:space="preserve">Ata de </w:t>
      </w:r>
      <w:r w:rsidRPr="00145DF5">
        <w:rPr>
          <w:rFonts w:ascii="Century Gothic" w:hAnsi="Century Gothic" w:cs="Arial"/>
          <w:sz w:val="28"/>
          <w:szCs w:val="28"/>
        </w:rPr>
        <w:t xml:space="preserve">Registro de Preços é o </w:t>
      </w:r>
      <w:r w:rsidR="00BE70D4" w:rsidRPr="00145DF5">
        <w:rPr>
          <w:rFonts w:ascii="Century Gothic" w:hAnsi="Century Gothic" w:cs="Arial"/>
          <w:sz w:val="28"/>
          <w:szCs w:val="28"/>
        </w:rPr>
        <w:t xml:space="preserve">da Comarca de </w:t>
      </w:r>
      <w:r w:rsidR="00FF04FF" w:rsidRPr="00145DF5">
        <w:rPr>
          <w:rFonts w:ascii="Century Gothic" w:hAnsi="Century Gothic" w:cs="Arial"/>
          <w:sz w:val="28"/>
          <w:szCs w:val="28"/>
        </w:rPr>
        <w:t>Pirajuí</w:t>
      </w:r>
      <w:r w:rsidR="00F95766">
        <w:rPr>
          <w:rFonts w:ascii="Century Gothic" w:hAnsi="Century Gothic" w:cs="Arial"/>
          <w:sz w:val="28"/>
          <w:szCs w:val="28"/>
        </w:rPr>
        <w:t xml:space="preserve">, </w:t>
      </w:r>
      <w:r w:rsidR="00BE70D4" w:rsidRPr="00145DF5">
        <w:rPr>
          <w:rFonts w:ascii="Century Gothic" w:hAnsi="Century Gothic" w:cs="Arial"/>
          <w:sz w:val="28"/>
          <w:szCs w:val="28"/>
        </w:rPr>
        <w:t>Estado de São Paulo</w:t>
      </w:r>
      <w:r w:rsidRPr="00145DF5">
        <w:rPr>
          <w:rFonts w:ascii="Century Gothic" w:hAnsi="Century Gothic" w:cs="Arial"/>
          <w:sz w:val="28"/>
          <w:szCs w:val="28"/>
        </w:rPr>
        <w:t xml:space="preserve">. </w:t>
      </w:r>
    </w:p>
    <w:p w:rsidR="00BE70D4" w:rsidRPr="00145DF5" w:rsidRDefault="00BE70D4" w:rsidP="00BE70D4">
      <w:pPr>
        <w:autoSpaceDE w:val="0"/>
        <w:autoSpaceDN w:val="0"/>
        <w:adjustRightInd w:val="0"/>
        <w:rPr>
          <w:rFonts w:ascii="Century Gothic" w:hAnsi="Century Gothic" w:cs="Arial"/>
          <w:sz w:val="28"/>
          <w:szCs w:val="28"/>
        </w:rPr>
      </w:pPr>
    </w:p>
    <w:p w:rsidR="007554F0" w:rsidRPr="00145DF5" w:rsidRDefault="007554F0" w:rsidP="00BE70D4">
      <w:pPr>
        <w:jc w:val="both"/>
        <w:rPr>
          <w:rFonts w:ascii="Century Gothic" w:hAnsi="Century Gothic" w:cs="Arial"/>
          <w:sz w:val="28"/>
          <w:szCs w:val="28"/>
        </w:rPr>
      </w:pPr>
      <w:r w:rsidRPr="00145DF5">
        <w:rPr>
          <w:rFonts w:ascii="Century Gothic" w:hAnsi="Century Gothic" w:cs="Arial"/>
          <w:b/>
          <w:bCs/>
          <w:sz w:val="28"/>
          <w:szCs w:val="28"/>
        </w:rPr>
        <w:t>7.2</w:t>
      </w:r>
      <w:r w:rsidR="00BE70D4" w:rsidRPr="00145DF5">
        <w:rPr>
          <w:rFonts w:ascii="Century Gothic" w:hAnsi="Century Gothic" w:cs="Arial"/>
          <w:b/>
          <w:bCs/>
          <w:sz w:val="28"/>
          <w:szCs w:val="28"/>
        </w:rPr>
        <w:t xml:space="preserve"> </w:t>
      </w:r>
      <w:r w:rsidR="00BE70D4" w:rsidRPr="00145DF5">
        <w:rPr>
          <w:rFonts w:ascii="Century Gothic" w:hAnsi="Century Gothic" w:cs="Arial"/>
          <w:b/>
          <w:sz w:val="28"/>
          <w:szCs w:val="28"/>
        </w:rPr>
        <w:t>–</w:t>
      </w:r>
      <w:r w:rsidRPr="00145DF5">
        <w:rPr>
          <w:rFonts w:ascii="Century Gothic" w:hAnsi="Century Gothic" w:cs="Arial"/>
          <w:b/>
          <w:sz w:val="28"/>
          <w:szCs w:val="28"/>
        </w:rPr>
        <w:t xml:space="preserve"> </w:t>
      </w:r>
      <w:r w:rsidRPr="00145DF5">
        <w:rPr>
          <w:rFonts w:ascii="Century Gothic" w:hAnsi="Century Gothic" w:cs="Arial"/>
          <w:sz w:val="28"/>
          <w:szCs w:val="28"/>
        </w:rPr>
        <w:t>Nada mais havendo a ser declarado, foi dada por encerrada a presente Ata que, lida e achada conforme, vai assinada pelas partes.</w:t>
      </w:r>
    </w:p>
    <w:p w:rsidR="00BE70D4" w:rsidRPr="00145DF5" w:rsidRDefault="00BE70D4" w:rsidP="00BE70D4">
      <w:pPr>
        <w:autoSpaceDE w:val="0"/>
        <w:autoSpaceDN w:val="0"/>
        <w:adjustRightInd w:val="0"/>
        <w:jc w:val="both"/>
        <w:rPr>
          <w:rFonts w:ascii="Century Gothic" w:hAnsi="Century Gothic" w:cs="Arial"/>
          <w:sz w:val="28"/>
          <w:szCs w:val="28"/>
        </w:rPr>
      </w:pPr>
    </w:p>
    <w:p w:rsidR="00BE70D4" w:rsidRPr="00145DF5" w:rsidRDefault="00534669" w:rsidP="00BE70D4">
      <w:pPr>
        <w:autoSpaceDE w:val="0"/>
        <w:autoSpaceDN w:val="0"/>
        <w:adjustRightInd w:val="0"/>
        <w:jc w:val="center"/>
        <w:rPr>
          <w:rFonts w:ascii="Century Gothic" w:hAnsi="Century Gothic" w:cs="Arial"/>
          <w:sz w:val="28"/>
          <w:szCs w:val="28"/>
        </w:rPr>
      </w:pPr>
      <w:r w:rsidRPr="00145DF5">
        <w:rPr>
          <w:rFonts w:ascii="Century Gothic" w:hAnsi="Century Gothic"/>
          <w:bCs/>
          <w:sz w:val="28"/>
          <w:szCs w:val="28"/>
        </w:rPr>
        <w:t>Pirajuí</w:t>
      </w:r>
      <w:r w:rsidR="00BE70D4" w:rsidRPr="00145DF5">
        <w:rPr>
          <w:rFonts w:ascii="Century Gothic" w:hAnsi="Century Gothic" w:cs="Arial"/>
          <w:sz w:val="28"/>
          <w:szCs w:val="28"/>
        </w:rPr>
        <w:t>, ______ de ________________ de 201</w:t>
      </w:r>
      <w:r w:rsidR="00697877" w:rsidRPr="00145DF5">
        <w:rPr>
          <w:rFonts w:ascii="Century Gothic" w:hAnsi="Century Gothic" w:cs="Arial"/>
          <w:sz w:val="28"/>
          <w:szCs w:val="28"/>
        </w:rPr>
        <w:t>7</w:t>
      </w:r>
      <w:r w:rsidR="00BE70D4" w:rsidRPr="00145DF5">
        <w:rPr>
          <w:rFonts w:ascii="Century Gothic" w:hAnsi="Century Gothic" w:cs="Arial"/>
          <w:sz w:val="28"/>
          <w:szCs w:val="28"/>
        </w:rPr>
        <w:t>.</w:t>
      </w:r>
    </w:p>
    <w:p w:rsidR="00BE70D4" w:rsidRPr="00145DF5" w:rsidRDefault="00BE70D4" w:rsidP="00BE70D4">
      <w:pPr>
        <w:autoSpaceDE w:val="0"/>
        <w:autoSpaceDN w:val="0"/>
        <w:adjustRightInd w:val="0"/>
        <w:jc w:val="center"/>
        <w:rPr>
          <w:rFonts w:ascii="Century Gothic" w:hAnsi="Century Gothic" w:cs="Arial"/>
          <w:b/>
          <w:bCs/>
          <w:sz w:val="28"/>
          <w:szCs w:val="28"/>
        </w:rPr>
      </w:pPr>
    </w:p>
    <w:p w:rsidR="00BE70D4" w:rsidRPr="00145DF5" w:rsidRDefault="00BE70D4" w:rsidP="00BE70D4">
      <w:pPr>
        <w:autoSpaceDE w:val="0"/>
        <w:autoSpaceDN w:val="0"/>
        <w:adjustRightInd w:val="0"/>
        <w:jc w:val="center"/>
        <w:rPr>
          <w:rFonts w:ascii="Century Gothic" w:hAnsi="Century Gothic" w:cs="Arial"/>
          <w:b/>
          <w:bCs/>
          <w:sz w:val="28"/>
          <w:szCs w:val="28"/>
        </w:rPr>
      </w:pPr>
    </w:p>
    <w:p w:rsidR="00BE70D4" w:rsidRPr="00145DF5" w:rsidRDefault="00BE70D4" w:rsidP="00BE70D4">
      <w:pPr>
        <w:autoSpaceDE w:val="0"/>
        <w:autoSpaceDN w:val="0"/>
        <w:adjustRightInd w:val="0"/>
        <w:jc w:val="center"/>
        <w:rPr>
          <w:rFonts w:ascii="Century Gothic" w:hAnsi="Century Gothic" w:cs="Arial"/>
          <w:b/>
          <w:bCs/>
          <w:sz w:val="28"/>
          <w:szCs w:val="28"/>
        </w:rPr>
      </w:pPr>
    </w:p>
    <w:p w:rsidR="00BE70D4" w:rsidRPr="00145DF5" w:rsidRDefault="00BE70D4" w:rsidP="00BE70D4">
      <w:pPr>
        <w:autoSpaceDE w:val="0"/>
        <w:autoSpaceDN w:val="0"/>
        <w:adjustRightInd w:val="0"/>
        <w:jc w:val="center"/>
        <w:rPr>
          <w:rFonts w:ascii="Century Gothic" w:hAnsi="Century Gothic" w:cs="Arial"/>
          <w:b/>
          <w:bCs/>
          <w:sz w:val="28"/>
          <w:szCs w:val="28"/>
        </w:rPr>
      </w:pPr>
      <w:r w:rsidRPr="00145DF5">
        <w:rPr>
          <w:rFonts w:ascii="Century Gothic" w:hAnsi="Century Gothic" w:cs="Arial"/>
          <w:b/>
          <w:bCs/>
          <w:sz w:val="28"/>
          <w:szCs w:val="28"/>
        </w:rPr>
        <w:t>P/ MUNICÍPIO</w:t>
      </w:r>
    </w:p>
    <w:p w:rsidR="00BE70D4" w:rsidRPr="00145DF5" w:rsidRDefault="00BE70D4" w:rsidP="00BE70D4">
      <w:pPr>
        <w:autoSpaceDE w:val="0"/>
        <w:autoSpaceDN w:val="0"/>
        <w:adjustRightInd w:val="0"/>
        <w:jc w:val="center"/>
        <w:rPr>
          <w:rFonts w:ascii="Century Gothic" w:hAnsi="Century Gothic" w:cs="Arial"/>
          <w:b/>
          <w:bCs/>
          <w:sz w:val="28"/>
          <w:szCs w:val="28"/>
        </w:rPr>
      </w:pPr>
    </w:p>
    <w:p w:rsidR="00BE70D4" w:rsidRPr="00145DF5" w:rsidRDefault="00BE70D4" w:rsidP="00BE70D4">
      <w:pPr>
        <w:autoSpaceDE w:val="0"/>
        <w:autoSpaceDN w:val="0"/>
        <w:adjustRightInd w:val="0"/>
        <w:jc w:val="center"/>
        <w:rPr>
          <w:rFonts w:ascii="Century Gothic" w:hAnsi="Century Gothic" w:cs="Arial"/>
          <w:b/>
          <w:bCs/>
          <w:sz w:val="28"/>
          <w:szCs w:val="28"/>
        </w:rPr>
      </w:pPr>
    </w:p>
    <w:p w:rsidR="00BE70D4" w:rsidRPr="00145DF5" w:rsidRDefault="00BE70D4" w:rsidP="00BE70D4">
      <w:pPr>
        <w:autoSpaceDE w:val="0"/>
        <w:autoSpaceDN w:val="0"/>
        <w:adjustRightInd w:val="0"/>
        <w:jc w:val="center"/>
        <w:rPr>
          <w:rFonts w:ascii="Century Gothic" w:hAnsi="Century Gothic" w:cs="Arial"/>
          <w:b/>
          <w:bCs/>
          <w:sz w:val="28"/>
          <w:szCs w:val="28"/>
        </w:rPr>
      </w:pPr>
    </w:p>
    <w:p w:rsidR="00BE70D4" w:rsidRPr="00145DF5" w:rsidRDefault="00BE70D4" w:rsidP="00BE70D4">
      <w:pPr>
        <w:autoSpaceDE w:val="0"/>
        <w:autoSpaceDN w:val="0"/>
        <w:adjustRightInd w:val="0"/>
        <w:jc w:val="center"/>
        <w:rPr>
          <w:rFonts w:ascii="Century Gothic" w:hAnsi="Century Gothic" w:cs="Arial"/>
          <w:b/>
          <w:bCs/>
          <w:sz w:val="28"/>
          <w:szCs w:val="28"/>
        </w:rPr>
      </w:pPr>
      <w:r w:rsidRPr="00145DF5">
        <w:rPr>
          <w:rFonts w:ascii="Century Gothic" w:hAnsi="Century Gothic" w:cs="Arial"/>
          <w:b/>
          <w:bCs/>
          <w:sz w:val="28"/>
          <w:szCs w:val="28"/>
        </w:rPr>
        <w:t>P/ DETENTORA(S)</w:t>
      </w:r>
    </w:p>
    <w:p w:rsidR="00BE70D4" w:rsidRPr="00145DF5" w:rsidRDefault="00BE70D4" w:rsidP="00BE70D4">
      <w:pPr>
        <w:autoSpaceDE w:val="0"/>
        <w:autoSpaceDN w:val="0"/>
        <w:adjustRightInd w:val="0"/>
        <w:jc w:val="both"/>
        <w:rPr>
          <w:rFonts w:ascii="Century Gothic" w:hAnsi="Century Gothic" w:cs="Arial"/>
          <w:b/>
          <w:bCs/>
          <w:sz w:val="28"/>
          <w:szCs w:val="28"/>
        </w:rPr>
      </w:pPr>
    </w:p>
    <w:p w:rsidR="00BE70D4" w:rsidRPr="00145DF5" w:rsidRDefault="00BE70D4"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TESTEMUNHAS</w:t>
      </w:r>
      <w:r w:rsidRPr="00145DF5">
        <w:rPr>
          <w:rFonts w:ascii="Century Gothic" w:hAnsi="Century Gothic" w:cs="Arial"/>
          <w:sz w:val="28"/>
          <w:szCs w:val="28"/>
        </w:rPr>
        <w:t>:</w:t>
      </w:r>
    </w:p>
    <w:p w:rsidR="00BE70D4" w:rsidRPr="00145DF5" w:rsidRDefault="00BE70D4" w:rsidP="00BE70D4">
      <w:pPr>
        <w:autoSpaceDE w:val="0"/>
        <w:autoSpaceDN w:val="0"/>
        <w:adjustRightInd w:val="0"/>
        <w:jc w:val="both"/>
        <w:rPr>
          <w:rFonts w:ascii="Century Gothic" w:hAnsi="Century Gothic" w:cs="Arial"/>
          <w:sz w:val="28"/>
          <w:szCs w:val="28"/>
        </w:rPr>
      </w:pPr>
    </w:p>
    <w:p w:rsidR="00BE70D4" w:rsidRPr="00145DF5" w:rsidRDefault="00BE70D4" w:rsidP="00BE70D4">
      <w:pPr>
        <w:autoSpaceDE w:val="0"/>
        <w:autoSpaceDN w:val="0"/>
        <w:adjustRightInd w:val="0"/>
        <w:jc w:val="both"/>
        <w:rPr>
          <w:rFonts w:ascii="Century Gothic" w:hAnsi="Century Gothic" w:cs="Arial"/>
          <w:sz w:val="28"/>
          <w:szCs w:val="28"/>
        </w:rPr>
      </w:pPr>
    </w:p>
    <w:p w:rsidR="00BE70D4" w:rsidRPr="00145DF5" w:rsidRDefault="00BE70D4" w:rsidP="00BE70D4">
      <w:pPr>
        <w:autoSpaceDE w:val="0"/>
        <w:autoSpaceDN w:val="0"/>
        <w:adjustRightInd w:val="0"/>
        <w:jc w:val="both"/>
        <w:rPr>
          <w:rFonts w:ascii="Century Gothic" w:hAnsi="Century Gothic" w:cs="Arial"/>
          <w:sz w:val="28"/>
          <w:szCs w:val="28"/>
        </w:rPr>
      </w:pPr>
      <w:r w:rsidRPr="00145DF5">
        <w:rPr>
          <w:rFonts w:ascii="Century Gothic" w:hAnsi="Century Gothic" w:cs="Arial"/>
          <w:sz w:val="28"/>
          <w:szCs w:val="28"/>
        </w:rPr>
        <w:t xml:space="preserve">_________________________ </w:t>
      </w:r>
      <w:r w:rsidRPr="00145DF5">
        <w:rPr>
          <w:rFonts w:ascii="Century Gothic" w:hAnsi="Century Gothic" w:cs="Arial"/>
          <w:sz w:val="28"/>
          <w:szCs w:val="28"/>
        </w:rPr>
        <w:tab/>
      </w:r>
      <w:r w:rsidRPr="00145DF5">
        <w:rPr>
          <w:rFonts w:ascii="Century Gothic" w:hAnsi="Century Gothic" w:cs="Arial"/>
          <w:sz w:val="28"/>
          <w:szCs w:val="28"/>
        </w:rPr>
        <w:tab/>
      </w:r>
      <w:r w:rsidRPr="00145DF5">
        <w:rPr>
          <w:rFonts w:ascii="Century Gothic" w:hAnsi="Century Gothic" w:cs="Arial"/>
          <w:sz w:val="28"/>
          <w:szCs w:val="28"/>
        </w:rPr>
        <w:tab/>
      </w:r>
      <w:r w:rsidRPr="00145DF5">
        <w:rPr>
          <w:rFonts w:ascii="Century Gothic" w:hAnsi="Century Gothic" w:cs="Arial"/>
          <w:sz w:val="28"/>
          <w:szCs w:val="28"/>
        </w:rPr>
        <w:tab/>
        <w:t>_________________________</w:t>
      </w:r>
    </w:p>
    <w:p w:rsidR="00BE70D4" w:rsidRPr="00145DF5" w:rsidRDefault="00BE70D4" w:rsidP="00BE70D4">
      <w:pPr>
        <w:autoSpaceDE w:val="0"/>
        <w:autoSpaceDN w:val="0"/>
        <w:adjustRightInd w:val="0"/>
        <w:jc w:val="both"/>
        <w:rPr>
          <w:rFonts w:ascii="Century Gothic" w:hAnsi="Century Gothic" w:cs="Arial"/>
          <w:b/>
          <w:bCs/>
          <w:sz w:val="28"/>
          <w:szCs w:val="28"/>
        </w:rPr>
      </w:pPr>
      <w:r w:rsidRPr="00145DF5">
        <w:rPr>
          <w:rFonts w:ascii="Century Gothic" w:hAnsi="Century Gothic" w:cs="Arial"/>
          <w:b/>
          <w:bCs/>
          <w:sz w:val="28"/>
          <w:szCs w:val="28"/>
        </w:rPr>
        <w:t xml:space="preserve">NOME </w:t>
      </w:r>
      <w:r w:rsidRPr="00145DF5">
        <w:rPr>
          <w:rFonts w:ascii="Century Gothic" w:hAnsi="Century Gothic" w:cs="Arial"/>
          <w:b/>
          <w:bCs/>
          <w:sz w:val="28"/>
          <w:szCs w:val="28"/>
        </w:rPr>
        <w:tab/>
      </w:r>
      <w:r w:rsidRPr="00145DF5">
        <w:rPr>
          <w:rFonts w:ascii="Century Gothic" w:hAnsi="Century Gothic" w:cs="Arial"/>
          <w:b/>
          <w:bCs/>
          <w:sz w:val="28"/>
          <w:szCs w:val="28"/>
        </w:rPr>
        <w:tab/>
      </w:r>
      <w:r w:rsidRPr="00145DF5">
        <w:rPr>
          <w:rFonts w:ascii="Century Gothic" w:hAnsi="Century Gothic" w:cs="Arial"/>
          <w:b/>
          <w:bCs/>
          <w:sz w:val="28"/>
          <w:szCs w:val="28"/>
        </w:rPr>
        <w:tab/>
      </w:r>
      <w:r w:rsidRPr="00145DF5">
        <w:rPr>
          <w:rFonts w:ascii="Century Gothic" w:hAnsi="Century Gothic" w:cs="Arial"/>
          <w:b/>
          <w:bCs/>
          <w:sz w:val="28"/>
          <w:szCs w:val="28"/>
        </w:rPr>
        <w:tab/>
      </w:r>
      <w:r w:rsidRPr="00145DF5">
        <w:rPr>
          <w:rFonts w:ascii="Century Gothic" w:hAnsi="Century Gothic" w:cs="Arial"/>
          <w:b/>
          <w:bCs/>
          <w:sz w:val="28"/>
          <w:szCs w:val="28"/>
        </w:rPr>
        <w:tab/>
      </w:r>
      <w:r w:rsidRPr="00145DF5">
        <w:rPr>
          <w:rFonts w:ascii="Century Gothic" w:hAnsi="Century Gothic" w:cs="Arial"/>
          <w:b/>
          <w:bCs/>
          <w:sz w:val="28"/>
          <w:szCs w:val="28"/>
        </w:rPr>
        <w:tab/>
      </w:r>
      <w:r w:rsidRPr="00145DF5">
        <w:rPr>
          <w:rFonts w:ascii="Century Gothic" w:hAnsi="Century Gothic" w:cs="Arial"/>
          <w:b/>
          <w:bCs/>
          <w:sz w:val="28"/>
          <w:szCs w:val="28"/>
        </w:rPr>
        <w:tab/>
      </w:r>
      <w:r w:rsidRPr="00145DF5">
        <w:rPr>
          <w:rFonts w:ascii="Century Gothic" w:hAnsi="Century Gothic" w:cs="Arial"/>
          <w:b/>
          <w:bCs/>
          <w:sz w:val="28"/>
          <w:szCs w:val="28"/>
        </w:rPr>
        <w:tab/>
        <w:t>NOME</w:t>
      </w:r>
    </w:p>
    <w:p w:rsidR="00BE70D4" w:rsidRPr="00145DF5" w:rsidRDefault="00BE70D4" w:rsidP="00BE70D4">
      <w:pPr>
        <w:autoSpaceDE w:val="0"/>
        <w:autoSpaceDN w:val="0"/>
        <w:adjustRightInd w:val="0"/>
        <w:jc w:val="both"/>
        <w:rPr>
          <w:rFonts w:ascii="Century Gothic" w:hAnsi="Century Gothic" w:cs="Arial"/>
          <w:b/>
          <w:bCs/>
          <w:sz w:val="28"/>
          <w:szCs w:val="28"/>
        </w:rPr>
      </w:pPr>
      <w:r w:rsidRPr="00145DF5">
        <w:rPr>
          <w:rFonts w:ascii="Century Gothic" w:hAnsi="Century Gothic" w:cs="Arial"/>
          <w:b/>
          <w:bCs/>
          <w:sz w:val="28"/>
          <w:szCs w:val="28"/>
        </w:rPr>
        <w:t xml:space="preserve">RG Nº </w:t>
      </w:r>
      <w:r w:rsidRPr="00145DF5">
        <w:rPr>
          <w:rFonts w:ascii="Century Gothic" w:hAnsi="Century Gothic" w:cs="Arial"/>
          <w:b/>
          <w:bCs/>
          <w:sz w:val="28"/>
          <w:szCs w:val="28"/>
        </w:rPr>
        <w:tab/>
      </w:r>
      <w:r w:rsidRPr="00145DF5">
        <w:rPr>
          <w:rFonts w:ascii="Century Gothic" w:hAnsi="Century Gothic" w:cs="Arial"/>
          <w:b/>
          <w:bCs/>
          <w:sz w:val="28"/>
          <w:szCs w:val="28"/>
        </w:rPr>
        <w:tab/>
      </w:r>
      <w:r w:rsidRPr="00145DF5">
        <w:rPr>
          <w:rFonts w:ascii="Century Gothic" w:hAnsi="Century Gothic" w:cs="Arial"/>
          <w:b/>
          <w:bCs/>
          <w:sz w:val="28"/>
          <w:szCs w:val="28"/>
        </w:rPr>
        <w:tab/>
      </w:r>
      <w:r w:rsidRPr="00145DF5">
        <w:rPr>
          <w:rFonts w:ascii="Century Gothic" w:hAnsi="Century Gothic" w:cs="Arial"/>
          <w:b/>
          <w:bCs/>
          <w:sz w:val="28"/>
          <w:szCs w:val="28"/>
        </w:rPr>
        <w:tab/>
      </w:r>
      <w:r w:rsidRPr="00145DF5">
        <w:rPr>
          <w:rFonts w:ascii="Century Gothic" w:hAnsi="Century Gothic" w:cs="Arial"/>
          <w:b/>
          <w:bCs/>
          <w:sz w:val="28"/>
          <w:szCs w:val="28"/>
        </w:rPr>
        <w:tab/>
      </w:r>
      <w:r w:rsidRPr="00145DF5">
        <w:rPr>
          <w:rFonts w:ascii="Century Gothic" w:hAnsi="Century Gothic" w:cs="Arial"/>
          <w:b/>
          <w:bCs/>
          <w:sz w:val="28"/>
          <w:szCs w:val="28"/>
        </w:rPr>
        <w:tab/>
      </w:r>
      <w:r w:rsidRPr="00145DF5">
        <w:rPr>
          <w:rFonts w:ascii="Century Gothic" w:hAnsi="Century Gothic" w:cs="Arial"/>
          <w:b/>
          <w:bCs/>
          <w:sz w:val="28"/>
          <w:szCs w:val="28"/>
        </w:rPr>
        <w:tab/>
      </w:r>
      <w:r w:rsidRPr="00145DF5">
        <w:rPr>
          <w:rFonts w:ascii="Century Gothic" w:hAnsi="Century Gothic" w:cs="Arial"/>
          <w:b/>
          <w:bCs/>
          <w:sz w:val="28"/>
          <w:szCs w:val="28"/>
        </w:rPr>
        <w:tab/>
        <w:t>RG Nº</w:t>
      </w:r>
    </w:p>
    <w:p w:rsidR="00BE70D4" w:rsidRPr="00145DF5" w:rsidRDefault="00BE70D4" w:rsidP="00BE70D4">
      <w:pPr>
        <w:jc w:val="both"/>
        <w:rPr>
          <w:rFonts w:ascii="Century Gothic" w:hAnsi="Century Gothic" w:cs="Arial"/>
          <w:b/>
          <w:bCs/>
          <w:sz w:val="28"/>
          <w:szCs w:val="28"/>
        </w:rPr>
      </w:pPr>
    </w:p>
    <w:p w:rsidR="007554F0" w:rsidRPr="00145DF5" w:rsidRDefault="007554F0" w:rsidP="00BE70D4">
      <w:pPr>
        <w:rPr>
          <w:rFonts w:ascii="Century Gothic" w:hAnsi="Century Gothic" w:cs="Arial"/>
          <w:b/>
          <w:bCs/>
          <w:sz w:val="28"/>
          <w:szCs w:val="28"/>
        </w:rPr>
      </w:pPr>
      <w:r w:rsidRPr="00145DF5">
        <w:rPr>
          <w:rFonts w:ascii="Century Gothic" w:hAnsi="Century Gothic" w:cs="Arial"/>
          <w:b/>
          <w:bCs/>
          <w:sz w:val="28"/>
          <w:szCs w:val="28"/>
        </w:rPr>
        <w:br w:type="page"/>
      </w:r>
    </w:p>
    <w:p w:rsidR="009A5808" w:rsidRPr="00145DF5" w:rsidRDefault="000C6F94" w:rsidP="00BE70D4">
      <w:pPr>
        <w:autoSpaceDE w:val="0"/>
        <w:autoSpaceDN w:val="0"/>
        <w:adjustRightInd w:val="0"/>
        <w:jc w:val="center"/>
        <w:rPr>
          <w:rFonts w:ascii="Century Gothic" w:hAnsi="Century Gothic" w:cs="Arial"/>
          <w:b/>
          <w:bCs/>
          <w:sz w:val="28"/>
          <w:szCs w:val="28"/>
        </w:rPr>
      </w:pPr>
      <w:r w:rsidRPr="00145DF5">
        <w:rPr>
          <w:rFonts w:ascii="Century Gothic" w:hAnsi="Century Gothic" w:cs="Arial"/>
          <w:b/>
          <w:bCs/>
          <w:sz w:val="28"/>
          <w:szCs w:val="28"/>
        </w:rPr>
        <w:lastRenderedPageBreak/>
        <w:t xml:space="preserve">ANEXO </w:t>
      </w:r>
      <w:r w:rsidR="009A5808" w:rsidRPr="00145DF5">
        <w:rPr>
          <w:rFonts w:ascii="Century Gothic" w:hAnsi="Century Gothic" w:cs="Arial"/>
          <w:b/>
          <w:bCs/>
          <w:sz w:val="28"/>
          <w:szCs w:val="28"/>
        </w:rPr>
        <w:t>V</w:t>
      </w:r>
    </w:p>
    <w:p w:rsidR="009A5808" w:rsidRPr="00145DF5" w:rsidRDefault="009A5808" w:rsidP="00BE70D4">
      <w:pPr>
        <w:autoSpaceDE w:val="0"/>
        <w:autoSpaceDN w:val="0"/>
        <w:adjustRightInd w:val="0"/>
        <w:jc w:val="center"/>
        <w:rPr>
          <w:rFonts w:ascii="Century Gothic" w:hAnsi="Century Gothic" w:cs="Arial"/>
          <w:b/>
          <w:bCs/>
          <w:sz w:val="28"/>
          <w:szCs w:val="28"/>
        </w:rPr>
      </w:pPr>
      <w:r w:rsidRPr="00145DF5">
        <w:rPr>
          <w:rFonts w:ascii="Century Gothic" w:hAnsi="Century Gothic" w:cs="Arial"/>
          <w:b/>
          <w:bCs/>
          <w:sz w:val="28"/>
          <w:szCs w:val="28"/>
        </w:rPr>
        <w:t>DECLARAÇÃO DE HABILITAÇÃO</w:t>
      </w:r>
    </w:p>
    <w:p w:rsidR="005D17EC" w:rsidRPr="00145DF5" w:rsidRDefault="005D17EC" w:rsidP="00BE70D4">
      <w:pPr>
        <w:autoSpaceDE w:val="0"/>
        <w:autoSpaceDN w:val="0"/>
        <w:adjustRightInd w:val="0"/>
        <w:jc w:val="both"/>
        <w:rPr>
          <w:rFonts w:ascii="Century Gothic" w:hAnsi="Century Gothic" w:cs="Arial"/>
          <w:sz w:val="28"/>
          <w:szCs w:val="28"/>
        </w:rPr>
      </w:pPr>
    </w:p>
    <w:p w:rsidR="005D17EC" w:rsidRPr="00145DF5" w:rsidRDefault="005D17EC" w:rsidP="00BE70D4">
      <w:pPr>
        <w:autoSpaceDE w:val="0"/>
        <w:autoSpaceDN w:val="0"/>
        <w:adjustRightInd w:val="0"/>
        <w:jc w:val="both"/>
        <w:rPr>
          <w:rFonts w:ascii="Century Gothic" w:hAnsi="Century Gothic" w:cs="Arial"/>
          <w:sz w:val="28"/>
          <w:szCs w:val="28"/>
        </w:rPr>
      </w:pPr>
    </w:p>
    <w:p w:rsidR="005D17EC" w:rsidRPr="00145DF5" w:rsidRDefault="005D17EC"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sz w:val="28"/>
          <w:szCs w:val="28"/>
        </w:rPr>
        <w:t xml:space="preserve">Eu _______________ (nome completo), RG nº ____________, representante legal da __________________________________ (denominação da pessoa jurídica), CNPJ nº _____________, </w:t>
      </w:r>
      <w:r w:rsidRPr="00145DF5">
        <w:rPr>
          <w:rFonts w:ascii="Century Gothic" w:hAnsi="Century Gothic" w:cs="Arial"/>
          <w:b/>
          <w:sz w:val="28"/>
          <w:szCs w:val="28"/>
        </w:rPr>
        <w:t>DECLARO</w:t>
      </w:r>
      <w:r w:rsidRPr="00145DF5">
        <w:rPr>
          <w:rFonts w:ascii="Century Gothic" w:hAnsi="Century Gothic" w:cs="Arial"/>
          <w:sz w:val="28"/>
          <w:szCs w:val="28"/>
        </w:rPr>
        <w:t>, sob as penas da lei, que a empresa cumpre plenamente as exigências e os requisitos de habilitação previstos no instrumento convocat</w:t>
      </w:r>
      <w:r w:rsidR="00EC0E0C" w:rsidRPr="00145DF5">
        <w:rPr>
          <w:rFonts w:ascii="Century Gothic" w:hAnsi="Century Gothic" w:cs="Arial"/>
          <w:sz w:val="28"/>
          <w:szCs w:val="28"/>
        </w:rPr>
        <w:t xml:space="preserve">ório do Pregão Presencial nº </w:t>
      </w:r>
      <w:r w:rsidR="00ED459C" w:rsidRPr="00145DF5">
        <w:rPr>
          <w:rFonts w:ascii="Century Gothic" w:hAnsi="Century Gothic" w:cs="Arial"/>
          <w:sz w:val="28"/>
          <w:szCs w:val="28"/>
        </w:rPr>
        <w:t>00</w:t>
      </w:r>
      <w:r w:rsidR="002078E6">
        <w:rPr>
          <w:rFonts w:ascii="Century Gothic" w:hAnsi="Century Gothic" w:cs="Arial"/>
          <w:sz w:val="28"/>
          <w:szCs w:val="28"/>
        </w:rPr>
        <w:t>6</w:t>
      </w:r>
      <w:r w:rsidR="00ED459C" w:rsidRPr="00145DF5">
        <w:rPr>
          <w:rFonts w:ascii="Century Gothic" w:hAnsi="Century Gothic" w:cs="Arial"/>
          <w:sz w:val="28"/>
          <w:szCs w:val="28"/>
        </w:rPr>
        <w:t>/2017</w:t>
      </w:r>
      <w:r w:rsidRPr="00145DF5">
        <w:rPr>
          <w:rFonts w:ascii="Century Gothic" w:hAnsi="Century Gothic" w:cs="Arial"/>
          <w:sz w:val="28"/>
          <w:szCs w:val="28"/>
        </w:rPr>
        <w:t>, realizado pel</w:t>
      </w:r>
      <w:r w:rsidR="009002CF" w:rsidRPr="00145DF5">
        <w:rPr>
          <w:rFonts w:ascii="Century Gothic" w:hAnsi="Century Gothic" w:cs="Arial"/>
          <w:sz w:val="28"/>
          <w:szCs w:val="28"/>
        </w:rPr>
        <w:t>o</w:t>
      </w:r>
      <w:r w:rsidRPr="00145DF5">
        <w:rPr>
          <w:rFonts w:ascii="Century Gothic" w:hAnsi="Century Gothic" w:cs="Arial"/>
          <w:sz w:val="28"/>
          <w:szCs w:val="28"/>
        </w:rPr>
        <w:t xml:space="preserve"> </w:t>
      </w:r>
      <w:r w:rsidR="009002CF" w:rsidRPr="00145DF5">
        <w:rPr>
          <w:rFonts w:ascii="Century Gothic" w:hAnsi="Century Gothic" w:cs="Arial"/>
          <w:sz w:val="28"/>
          <w:szCs w:val="28"/>
        </w:rPr>
        <w:t xml:space="preserve">Município de </w:t>
      </w:r>
      <w:r w:rsidR="00534669" w:rsidRPr="00145DF5">
        <w:rPr>
          <w:rFonts w:ascii="Century Gothic" w:hAnsi="Century Gothic"/>
          <w:bCs/>
          <w:sz w:val="28"/>
          <w:szCs w:val="28"/>
        </w:rPr>
        <w:t>Pirajuí</w:t>
      </w:r>
      <w:r w:rsidRPr="00145DF5">
        <w:rPr>
          <w:rFonts w:ascii="Century Gothic" w:hAnsi="Century Gothic" w:cs="Arial"/>
          <w:sz w:val="28"/>
          <w:szCs w:val="28"/>
        </w:rPr>
        <w:t>, inexistindo qualquer fato impeditivo de sua participação neste certame.</w:t>
      </w:r>
    </w:p>
    <w:p w:rsidR="009A5808" w:rsidRPr="00145DF5" w:rsidRDefault="009A5808" w:rsidP="00BE70D4">
      <w:pPr>
        <w:autoSpaceDE w:val="0"/>
        <w:autoSpaceDN w:val="0"/>
        <w:adjustRightInd w:val="0"/>
        <w:jc w:val="both"/>
        <w:rPr>
          <w:rFonts w:ascii="Century Gothic" w:hAnsi="Century Gothic" w:cs="Arial"/>
          <w:sz w:val="28"/>
          <w:szCs w:val="28"/>
        </w:rPr>
      </w:pPr>
    </w:p>
    <w:p w:rsidR="000F612C" w:rsidRPr="00145DF5" w:rsidRDefault="000F612C" w:rsidP="000F612C">
      <w:pPr>
        <w:autoSpaceDE w:val="0"/>
        <w:autoSpaceDN w:val="0"/>
        <w:adjustRightInd w:val="0"/>
        <w:jc w:val="center"/>
        <w:rPr>
          <w:rFonts w:ascii="Century Gothic" w:hAnsi="Century Gothic" w:cs="Arial"/>
          <w:sz w:val="28"/>
          <w:szCs w:val="28"/>
        </w:rPr>
      </w:pPr>
      <w:r w:rsidRPr="00145DF5">
        <w:rPr>
          <w:rFonts w:ascii="Century Gothic" w:hAnsi="Century Gothic" w:cs="Arial"/>
          <w:sz w:val="28"/>
          <w:szCs w:val="28"/>
        </w:rPr>
        <w:t>Pirajuí, em ____ de ________________ de 2017.</w:t>
      </w:r>
    </w:p>
    <w:p w:rsidR="000F612C" w:rsidRPr="00145DF5" w:rsidRDefault="000F612C" w:rsidP="000F612C">
      <w:pPr>
        <w:autoSpaceDE w:val="0"/>
        <w:autoSpaceDN w:val="0"/>
        <w:adjustRightInd w:val="0"/>
        <w:jc w:val="center"/>
        <w:rPr>
          <w:rFonts w:ascii="Century Gothic" w:hAnsi="Century Gothic" w:cs="Arial"/>
          <w:sz w:val="28"/>
          <w:szCs w:val="28"/>
        </w:rPr>
      </w:pPr>
    </w:p>
    <w:p w:rsidR="000F612C" w:rsidRPr="00145DF5" w:rsidRDefault="000F612C" w:rsidP="000F612C">
      <w:pPr>
        <w:autoSpaceDE w:val="0"/>
        <w:autoSpaceDN w:val="0"/>
        <w:adjustRightInd w:val="0"/>
        <w:jc w:val="center"/>
        <w:rPr>
          <w:rFonts w:ascii="Century Gothic" w:hAnsi="Century Gothic" w:cs="Arial"/>
          <w:sz w:val="28"/>
          <w:szCs w:val="28"/>
        </w:rPr>
      </w:pPr>
    </w:p>
    <w:p w:rsidR="000F612C" w:rsidRPr="00145DF5" w:rsidRDefault="000F612C" w:rsidP="000F612C">
      <w:pPr>
        <w:autoSpaceDE w:val="0"/>
        <w:autoSpaceDN w:val="0"/>
        <w:adjustRightInd w:val="0"/>
        <w:jc w:val="center"/>
        <w:rPr>
          <w:rFonts w:ascii="Century Gothic" w:hAnsi="Century Gothic" w:cs="Arial"/>
          <w:sz w:val="28"/>
          <w:szCs w:val="28"/>
        </w:rPr>
      </w:pPr>
      <w:r w:rsidRPr="00145DF5">
        <w:rPr>
          <w:rFonts w:ascii="Century Gothic" w:hAnsi="Century Gothic" w:cs="Arial"/>
          <w:sz w:val="28"/>
          <w:szCs w:val="28"/>
        </w:rPr>
        <w:t>____________________________</w:t>
      </w:r>
    </w:p>
    <w:p w:rsidR="000F612C" w:rsidRPr="00145DF5" w:rsidRDefault="000F612C" w:rsidP="000F612C">
      <w:pPr>
        <w:autoSpaceDE w:val="0"/>
        <w:autoSpaceDN w:val="0"/>
        <w:adjustRightInd w:val="0"/>
        <w:jc w:val="center"/>
        <w:rPr>
          <w:rFonts w:ascii="Century Gothic" w:hAnsi="Century Gothic" w:cs="Arial"/>
          <w:sz w:val="28"/>
          <w:szCs w:val="28"/>
        </w:rPr>
      </w:pPr>
      <w:r w:rsidRPr="00145DF5">
        <w:rPr>
          <w:rFonts w:ascii="Century Gothic" w:hAnsi="Century Gothic" w:cs="Arial"/>
          <w:sz w:val="28"/>
          <w:szCs w:val="28"/>
        </w:rPr>
        <w:t>Assinatura do representante legal</w:t>
      </w:r>
    </w:p>
    <w:p w:rsidR="000F612C" w:rsidRPr="00145DF5" w:rsidRDefault="000F612C" w:rsidP="000F612C">
      <w:pPr>
        <w:autoSpaceDE w:val="0"/>
        <w:autoSpaceDN w:val="0"/>
        <w:adjustRightInd w:val="0"/>
        <w:jc w:val="both"/>
        <w:rPr>
          <w:rFonts w:ascii="Century Gothic" w:hAnsi="Century Gothic" w:cs="Arial"/>
          <w:sz w:val="28"/>
          <w:szCs w:val="28"/>
        </w:rPr>
      </w:pPr>
    </w:p>
    <w:p w:rsidR="000F612C" w:rsidRPr="00145DF5" w:rsidRDefault="000F612C" w:rsidP="000F612C">
      <w:pPr>
        <w:autoSpaceDE w:val="0"/>
        <w:autoSpaceDN w:val="0"/>
        <w:adjustRightInd w:val="0"/>
        <w:jc w:val="both"/>
        <w:rPr>
          <w:rFonts w:ascii="Century Gothic" w:hAnsi="Century Gothic" w:cs="Arial"/>
          <w:sz w:val="28"/>
          <w:szCs w:val="28"/>
        </w:rPr>
      </w:pPr>
      <w:r w:rsidRPr="00145DF5">
        <w:rPr>
          <w:rFonts w:ascii="Century Gothic" w:hAnsi="Century Gothic" w:cs="Arial"/>
          <w:sz w:val="28"/>
          <w:szCs w:val="28"/>
        </w:rPr>
        <w:t>Nome do representante legal: _________________________________</w:t>
      </w:r>
    </w:p>
    <w:p w:rsidR="000F612C" w:rsidRPr="00145DF5" w:rsidRDefault="000F612C" w:rsidP="000F612C">
      <w:pPr>
        <w:autoSpaceDE w:val="0"/>
        <w:autoSpaceDN w:val="0"/>
        <w:adjustRightInd w:val="0"/>
        <w:jc w:val="both"/>
        <w:rPr>
          <w:rFonts w:ascii="Century Gothic" w:hAnsi="Century Gothic" w:cs="Arial"/>
          <w:sz w:val="28"/>
          <w:szCs w:val="28"/>
        </w:rPr>
      </w:pPr>
      <w:r w:rsidRPr="00145DF5">
        <w:rPr>
          <w:rFonts w:ascii="Century Gothic" w:hAnsi="Century Gothic" w:cs="Arial"/>
          <w:sz w:val="28"/>
          <w:szCs w:val="28"/>
        </w:rPr>
        <w:t>RG do representante legal: __________________________</w:t>
      </w:r>
    </w:p>
    <w:p w:rsidR="000F612C" w:rsidRPr="00145DF5" w:rsidRDefault="000F612C" w:rsidP="000F612C">
      <w:pPr>
        <w:autoSpaceDE w:val="0"/>
        <w:autoSpaceDN w:val="0"/>
        <w:adjustRightInd w:val="0"/>
        <w:jc w:val="both"/>
        <w:rPr>
          <w:rFonts w:ascii="Century Gothic" w:hAnsi="Century Gothic" w:cs="Arial"/>
          <w:sz w:val="28"/>
          <w:szCs w:val="28"/>
        </w:rPr>
      </w:pPr>
      <w:r w:rsidRPr="00145DF5">
        <w:rPr>
          <w:rFonts w:ascii="Century Gothic" w:hAnsi="Century Gothic" w:cs="Arial"/>
          <w:sz w:val="28"/>
          <w:szCs w:val="28"/>
        </w:rPr>
        <w:t>CPF do representante legal: _________________________</w:t>
      </w:r>
    </w:p>
    <w:p w:rsidR="000C6F94" w:rsidRPr="00145DF5" w:rsidRDefault="009A5808" w:rsidP="00BE70D4">
      <w:pPr>
        <w:autoSpaceDE w:val="0"/>
        <w:autoSpaceDN w:val="0"/>
        <w:adjustRightInd w:val="0"/>
        <w:jc w:val="center"/>
        <w:rPr>
          <w:rFonts w:ascii="Century Gothic" w:hAnsi="Century Gothic" w:cs="Arial"/>
          <w:b/>
          <w:bCs/>
          <w:sz w:val="28"/>
          <w:szCs w:val="28"/>
        </w:rPr>
      </w:pPr>
      <w:r w:rsidRPr="00145DF5">
        <w:rPr>
          <w:rFonts w:ascii="Century Gothic" w:hAnsi="Century Gothic" w:cs="Arial"/>
          <w:b/>
          <w:bCs/>
          <w:sz w:val="28"/>
          <w:szCs w:val="28"/>
        </w:rPr>
        <w:br w:type="page"/>
      </w:r>
    </w:p>
    <w:p w:rsidR="000C6F94" w:rsidRPr="00145DF5" w:rsidRDefault="000C6F94" w:rsidP="00BE70D4">
      <w:pPr>
        <w:autoSpaceDE w:val="0"/>
        <w:autoSpaceDN w:val="0"/>
        <w:adjustRightInd w:val="0"/>
        <w:jc w:val="center"/>
        <w:rPr>
          <w:rFonts w:ascii="Century Gothic" w:hAnsi="Century Gothic" w:cs="Arial"/>
          <w:b/>
          <w:bCs/>
          <w:sz w:val="28"/>
          <w:szCs w:val="28"/>
        </w:rPr>
      </w:pPr>
      <w:r w:rsidRPr="00145DF5">
        <w:rPr>
          <w:rFonts w:ascii="Century Gothic" w:hAnsi="Century Gothic" w:cs="Arial"/>
          <w:b/>
          <w:bCs/>
          <w:sz w:val="28"/>
          <w:szCs w:val="28"/>
        </w:rPr>
        <w:lastRenderedPageBreak/>
        <w:t>ANEXO VI</w:t>
      </w:r>
    </w:p>
    <w:p w:rsidR="000C6F94" w:rsidRPr="00145DF5" w:rsidRDefault="000C6F94" w:rsidP="00BE70D4">
      <w:pPr>
        <w:autoSpaceDE w:val="0"/>
        <w:autoSpaceDN w:val="0"/>
        <w:adjustRightInd w:val="0"/>
        <w:jc w:val="center"/>
        <w:rPr>
          <w:rFonts w:ascii="Century Gothic" w:hAnsi="Century Gothic" w:cs="Arial"/>
          <w:sz w:val="28"/>
          <w:szCs w:val="28"/>
        </w:rPr>
      </w:pPr>
      <w:r w:rsidRPr="00145DF5">
        <w:rPr>
          <w:rFonts w:ascii="Century Gothic" w:hAnsi="Century Gothic" w:cs="Arial"/>
          <w:b/>
          <w:bCs/>
          <w:sz w:val="28"/>
          <w:szCs w:val="28"/>
        </w:rPr>
        <w:t>DECLARAÇÃO DE MICROEMPRESA OU EMPRESA DE PEQUENO PORTE</w:t>
      </w:r>
    </w:p>
    <w:p w:rsidR="000C6F94" w:rsidRPr="00145DF5" w:rsidRDefault="000C6F94" w:rsidP="00BE70D4">
      <w:pPr>
        <w:autoSpaceDE w:val="0"/>
        <w:autoSpaceDN w:val="0"/>
        <w:adjustRightInd w:val="0"/>
        <w:jc w:val="both"/>
        <w:rPr>
          <w:rFonts w:ascii="Century Gothic" w:hAnsi="Century Gothic" w:cs="Arial"/>
          <w:sz w:val="28"/>
          <w:szCs w:val="28"/>
        </w:rPr>
      </w:pPr>
    </w:p>
    <w:p w:rsidR="000C6F94" w:rsidRPr="00145DF5" w:rsidRDefault="000C6F94" w:rsidP="00BE70D4">
      <w:pPr>
        <w:autoSpaceDE w:val="0"/>
        <w:autoSpaceDN w:val="0"/>
        <w:adjustRightInd w:val="0"/>
        <w:jc w:val="both"/>
        <w:rPr>
          <w:rFonts w:ascii="Century Gothic" w:hAnsi="Century Gothic" w:cs="Arial"/>
          <w:sz w:val="28"/>
          <w:szCs w:val="28"/>
        </w:rPr>
      </w:pPr>
    </w:p>
    <w:p w:rsidR="000C6F94" w:rsidRPr="00145DF5" w:rsidRDefault="000C6F94" w:rsidP="00BE70D4">
      <w:pPr>
        <w:autoSpaceDE w:val="0"/>
        <w:autoSpaceDN w:val="0"/>
        <w:adjustRightInd w:val="0"/>
        <w:jc w:val="both"/>
        <w:rPr>
          <w:rFonts w:ascii="Century Gothic" w:hAnsi="Century Gothic" w:cs="Arial"/>
          <w:sz w:val="28"/>
          <w:szCs w:val="28"/>
        </w:rPr>
      </w:pPr>
    </w:p>
    <w:p w:rsidR="000C6F94" w:rsidRPr="00145DF5" w:rsidRDefault="000C6F94" w:rsidP="00BE70D4">
      <w:pPr>
        <w:autoSpaceDE w:val="0"/>
        <w:autoSpaceDN w:val="0"/>
        <w:adjustRightInd w:val="0"/>
        <w:jc w:val="both"/>
        <w:rPr>
          <w:rFonts w:ascii="Century Gothic" w:hAnsi="Century Gothic" w:cs="Arial"/>
          <w:sz w:val="28"/>
          <w:szCs w:val="28"/>
        </w:rPr>
      </w:pPr>
      <w:r w:rsidRPr="00145DF5">
        <w:rPr>
          <w:rFonts w:ascii="Century Gothic" w:hAnsi="Century Gothic"/>
          <w:b/>
          <w:bCs/>
          <w:sz w:val="28"/>
          <w:szCs w:val="28"/>
        </w:rPr>
        <w:t>DECLARO</w:t>
      </w:r>
      <w:r w:rsidRPr="00145DF5">
        <w:rPr>
          <w:rFonts w:ascii="Century Gothic" w:hAnsi="Century Gothic"/>
          <w:sz w:val="28"/>
          <w:szCs w:val="28"/>
        </w:rPr>
        <w:t xml:space="preserve">, sob as penas da lei, sem prejuízo das sanções e multas previstas no ato convocatório, que a empresa _________________________________________(denominação da pessoa jurídica), CNPJ nº ________________________é </w:t>
      </w:r>
      <w:r w:rsidRPr="00145DF5">
        <w:rPr>
          <w:rFonts w:ascii="Century Gothic" w:hAnsi="Century Gothic"/>
          <w:b/>
          <w:bCs/>
          <w:sz w:val="28"/>
          <w:szCs w:val="28"/>
        </w:rPr>
        <w:t xml:space="preserve">microempresa </w:t>
      </w:r>
      <w:r w:rsidRPr="00145DF5">
        <w:rPr>
          <w:rFonts w:ascii="Century Gothic" w:hAnsi="Century Gothic"/>
          <w:sz w:val="28"/>
          <w:szCs w:val="28"/>
        </w:rPr>
        <w:t xml:space="preserve">ou </w:t>
      </w:r>
      <w:r w:rsidRPr="00145DF5">
        <w:rPr>
          <w:rFonts w:ascii="Century Gothic" w:hAnsi="Century Gothic"/>
          <w:b/>
          <w:bCs/>
          <w:sz w:val="28"/>
          <w:szCs w:val="28"/>
        </w:rPr>
        <w:t>empresa de pequeno porte</w:t>
      </w:r>
      <w:r w:rsidRPr="00145DF5">
        <w:rPr>
          <w:rFonts w:ascii="Century Gothic" w:hAnsi="Century Gothic"/>
          <w:sz w:val="28"/>
          <w:szCs w:val="28"/>
        </w:rPr>
        <w:t xml:space="preserve">, nos termos do enquadramento previsto nos incisos I e II e §§ 1º e 2º, bem como não possui qualquer dos impedimentos previstos nos §§ 4º e seguintes todos do artigo 3º da </w:t>
      </w:r>
      <w:r w:rsidRPr="00145DF5">
        <w:rPr>
          <w:rFonts w:ascii="Century Gothic" w:hAnsi="Century Gothic"/>
          <w:b/>
          <w:bCs/>
          <w:sz w:val="28"/>
          <w:szCs w:val="28"/>
        </w:rPr>
        <w:t>Lei Complementar nº 123, de 14 de dezembro de 2006</w:t>
      </w:r>
      <w:r w:rsidRPr="00145DF5">
        <w:rPr>
          <w:rFonts w:ascii="Century Gothic" w:hAnsi="Century Gothic"/>
          <w:sz w:val="28"/>
          <w:szCs w:val="28"/>
        </w:rPr>
        <w:t xml:space="preserve">, cujos termos declaro conhecer na íntegra, </w:t>
      </w:r>
      <w:r w:rsidRPr="00145DF5">
        <w:rPr>
          <w:rFonts w:ascii="Century Gothic" w:hAnsi="Century Gothic"/>
          <w:b/>
          <w:bCs/>
          <w:sz w:val="28"/>
          <w:szCs w:val="28"/>
        </w:rPr>
        <w:t>estando apta</w:t>
      </w:r>
      <w:r w:rsidRPr="00145DF5">
        <w:rPr>
          <w:rFonts w:ascii="Century Gothic" w:hAnsi="Century Gothic"/>
          <w:sz w:val="28"/>
          <w:szCs w:val="28"/>
        </w:rPr>
        <w:t xml:space="preserve">, portanto, a exercer o direito de preferência como critério de desempate e comprovar a regularidade fiscal nos termos previstos nos artigos 42 a 45 da referida Lei Complementar, no procedimento licitatório do </w:t>
      </w:r>
      <w:r w:rsidR="00007614" w:rsidRPr="00145DF5">
        <w:rPr>
          <w:rFonts w:ascii="Century Gothic" w:hAnsi="Century Gothic" w:cs="Arial"/>
          <w:sz w:val="28"/>
          <w:szCs w:val="28"/>
        </w:rPr>
        <w:t xml:space="preserve">Pregão Presencial nº </w:t>
      </w:r>
      <w:r w:rsidR="00ED459C" w:rsidRPr="00145DF5">
        <w:rPr>
          <w:rFonts w:ascii="Century Gothic" w:hAnsi="Century Gothic" w:cs="Arial"/>
          <w:sz w:val="28"/>
          <w:szCs w:val="28"/>
        </w:rPr>
        <w:t>00</w:t>
      </w:r>
      <w:r w:rsidR="002078E6">
        <w:rPr>
          <w:rFonts w:ascii="Century Gothic" w:hAnsi="Century Gothic" w:cs="Arial"/>
          <w:sz w:val="28"/>
          <w:szCs w:val="28"/>
        </w:rPr>
        <w:t>6</w:t>
      </w:r>
      <w:r w:rsidR="00ED459C" w:rsidRPr="00145DF5">
        <w:rPr>
          <w:rFonts w:ascii="Century Gothic" w:hAnsi="Century Gothic" w:cs="Arial"/>
          <w:sz w:val="28"/>
          <w:szCs w:val="28"/>
        </w:rPr>
        <w:t>/2017</w:t>
      </w:r>
      <w:r w:rsidRPr="00145DF5">
        <w:rPr>
          <w:rFonts w:ascii="Century Gothic" w:hAnsi="Century Gothic" w:cs="Arial"/>
          <w:sz w:val="28"/>
          <w:szCs w:val="28"/>
        </w:rPr>
        <w:t xml:space="preserve">, realizado pelo do Município de </w:t>
      </w:r>
      <w:r w:rsidR="00534669" w:rsidRPr="00145DF5">
        <w:rPr>
          <w:rFonts w:ascii="Century Gothic" w:hAnsi="Century Gothic"/>
          <w:bCs/>
          <w:sz w:val="28"/>
          <w:szCs w:val="28"/>
        </w:rPr>
        <w:t>Pirajuí</w:t>
      </w:r>
      <w:r w:rsidRPr="00145DF5">
        <w:rPr>
          <w:rFonts w:ascii="Century Gothic" w:hAnsi="Century Gothic"/>
          <w:sz w:val="28"/>
          <w:szCs w:val="28"/>
        </w:rPr>
        <w:t>.</w:t>
      </w:r>
    </w:p>
    <w:p w:rsidR="000C6F94" w:rsidRPr="00145DF5" w:rsidRDefault="000C6F94" w:rsidP="00BE70D4">
      <w:pPr>
        <w:autoSpaceDE w:val="0"/>
        <w:autoSpaceDN w:val="0"/>
        <w:adjustRightInd w:val="0"/>
        <w:jc w:val="center"/>
        <w:rPr>
          <w:rFonts w:ascii="Century Gothic" w:hAnsi="Century Gothic" w:cs="Arial"/>
          <w:sz w:val="28"/>
          <w:szCs w:val="28"/>
        </w:rPr>
      </w:pPr>
    </w:p>
    <w:p w:rsidR="000F612C" w:rsidRPr="00145DF5" w:rsidRDefault="000F612C" w:rsidP="000F612C">
      <w:pPr>
        <w:autoSpaceDE w:val="0"/>
        <w:autoSpaceDN w:val="0"/>
        <w:adjustRightInd w:val="0"/>
        <w:jc w:val="center"/>
        <w:rPr>
          <w:rFonts w:ascii="Century Gothic" w:hAnsi="Century Gothic" w:cs="Arial"/>
          <w:sz w:val="28"/>
          <w:szCs w:val="28"/>
        </w:rPr>
      </w:pPr>
      <w:r w:rsidRPr="00145DF5">
        <w:rPr>
          <w:rFonts w:ascii="Century Gothic" w:hAnsi="Century Gothic" w:cs="Arial"/>
          <w:sz w:val="28"/>
          <w:szCs w:val="28"/>
        </w:rPr>
        <w:t>Pirajuí, em ____ de ________________ de 2017.</w:t>
      </w:r>
    </w:p>
    <w:p w:rsidR="000F612C" w:rsidRPr="00145DF5" w:rsidRDefault="000F612C" w:rsidP="000F612C">
      <w:pPr>
        <w:autoSpaceDE w:val="0"/>
        <w:autoSpaceDN w:val="0"/>
        <w:adjustRightInd w:val="0"/>
        <w:jc w:val="center"/>
        <w:rPr>
          <w:rFonts w:ascii="Century Gothic" w:hAnsi="Century Gothic" w:cs="Arial"/>
          <w:sz w:val="28"/>
          <w:szCs w:val="28"/>
        </w:rPr>
      </w:pPr>
    </w:p>
    <w:p w:rsidR="000F612C" w:rsidRPr="00145DF5" w:rsidRDefault="000F612C" w:rsidP="000F612C">
      <w:pPr>
        <w:autoSpaceDE w:val="0"/>
        <w:autoSpaceDN w:val="0"/>
        <w:adjustRightInd w:val="0"/>
        <w:jc w:val="center"/>
        <w:rPr>
          <w:rFonts w:ascii="Century Gothic" w:hAnsi="Century Gothic" w:cs="Arial"/>
          <w:sz w:val="28"/>
          <w:szCs w:val="28"/>
        </w:rPr>
      </w:pPr>
    </w:p>
    <w:p w:rsidR="000F612C" w:rsidRPr="00145DF5" w:rsidRDefault="000F612C" w:rsidP="000F612C">
      <w:pPr>
        <w:autoSpaceDE w:val="0"/>
        <w:autoSpaceDN w:val="0"/>
        <w:adjustRightInd w:val="0"/>
        <w:jc w:val="center"/>
        <w:rPr>
          <w:rFonts w:ascii="Century Gothic" w:hAnsi="Century Gothic" w:cs="Arial"/>
          <w:sz w:val="28"/>
          <w:szCs w:val="28"/>
        </w:rPr>
      </w:pPr>
      <w:r w:rsidRPr="00145DF5">
        <w:rPr>
          <w:rFonts w:ascii="Century Gothic" w:hAnsi="Century Gothic" w:cs="Arial"/>
          <w:sz w:val="28"/>
          <w:szCs w:val="28"/>
        </w:rPr>
        <w:t>____________________________</w:t>
      </w:r>
    </w:p>
    <w:p w:rsidR="000F612C" w:rsidRPr="00145DF5" w:rsidRDefault="000F612C" w:rsidP="000F612C">
      <w:pPr>
        <w:autoSpaceDE w:val="0"/>
        <w:autoSpaceDN w:val="0"/>
        <w:adjustRightInd w:val="0"/>
        <w:jc w:val="center"/>
        <w:rPr>
          <w:rFonts w:ascii="Century Gothic" w:hAnsi="Century Gothic" w:cs="Arial"/>
          <w:sz w:val="28"/>
          <w:szCs w:val="28"/>
        </w:rPr>
      </w:pPr>
      <w:r w:rsidRPr="00145DF5">
        <w:rPr>
          <w:rFonts w:ascii="Century Gothic" w:hAnsi="Century Gothic" w:cs="Arial"/>
          <w:sz w:val="28"/>
          <w:szCs w:val="28"/>
        </w:rPr>
        <w:t>Assinatura do representante legal</w:t>
      </w:r>
    </w:p>
    <w:p w:rsidR="000F612C" w:rsidRPr="00145DF5" w:rsidRDefault="000F612C" w:rsidP="000F612C">
      <w:pPr>
        <w:autoSpaceDE w:val="0"/>
        <w:autoSpaceDN w:val="0"/>
        <w:adjustRightInd w:val="0"/>
        <w:jc w:val="both"/>
        <w:rPr>
          <w:rFonts w:ascii="Century Gothic" w:hAnsi="Century Gothic" w:cs="Arial"/>
          <w:sz w:val="28"/>
          <w:szCs w:val="28"/>
        </w:rPr>
      </w:pPr>
    </w:p>
    <w:p w:rsidR="000F612C" w:rsidRPr="00145DF5" w:rsidRDefault="000F612C" w:rsidP="000F612C">
      <w:pPr>
        <w:autoSpaceDE w:val="0"/>
        <w:autoSpaceDN w:val="0"/>
        <w:adjustRightInd w:val="0"/>
        <w:jc w:val="both"/>
        <w:rPr>
          <w:rFonts w:ascii="Century Gothic" w:hAnsi="Century Gothic" w:cs="Arial"/>
          <w:sz w:val="28"/>
          <w:szCs w:val="28"/>
        </w:rPr>
      </w:pPr>
      <w:r w:rsidRPr="00145DF5">
        <w:rPr>
          <w:rFonts w:ascii="Century Gothic" w:hAnsi="Century Gothic" w:cs="Arial"/>
          <w:sz w:val="28"/>
          <w:szCs w:val="28"/>
        </w:rPr>
        <w:t>Nome do representante legal: _________________________________</w:t>
      </w:r>
    </w:p>
    <w:p w:rsidR="000F612C" w:rsidRPr="00145DF5" w:rsidRDefault="000F612C" w:rsidP="000F612C">
      <w:pPr>
        <w:autoSpaceDE w:val="0"/>
        <w:autoSpaceDN w:val="0"/>
        <w:adjustRightInd w:val="0"/>
        <w:jc w:val="both"/>
        <w:rPr>
          <w:rFonts w:ascii="Century Gothic" w:hAnsi="Century Gothic" w:cs="Arial"/>
          <w:sz w:val="28"/>
          <w:szCs w:val="28"/>
        </w:rPr>
      </w:pPr>
      <w:r w:rsidRPr="00145DF5">
        <w:rPr>
          <w:rFonts w:ascii="Century Gothic" w:hAnsi="Century Gothic" w:cs="Arial"/>
          <w:sz w:val="28"/>
          <w:szCs w:val="28"/>
        </w:rPr>
        <w:t>RG do representante legal: __________________________</w:t>
      </w:r>
    </w:p>
    <w:p w:rsidR="000F612C" w:rsidRPr="00145DF5" w:rsidRDefault="000F612C" w:rsidP="000F612C">
      <w:pPr>
        <w:autoSpaceDE w:val="0"/>
        <w:autoSpaceDN w:val="0"/>
        <w:adjustRightInd w:val="0"/>
        <w:jc w:val="both"/>
        <w:rPr>
          <w:rFonts w:ascii="Century Gothic" w:hAnsi="Century Gothic" w:cs="Arial"/>
          <w:sz w:val="28"/>
          <w:szCs w:val="28"/>
        </w:rPr>
      </w:pPr>
      <w:r w:rsidRPr="00145DF5">
        <w:rPr>
          <w:rFonts w:ascii="Century Gothic" w:hAnsi="Century Gothic" w:cs="Arial"/>
          <w:sz w:val="28"/>
          <w:szCs w:val="28"/>
        </w:rPr>
        <w:t>CPF do representante legal: _________________________</w:t>
      </w:r>
    </w:p>
    <w:p w:rsidR="000C6F94" w:rsidRPr="00145DF5" w:rsidRDefault="000C6F94" w:rsidP="00BE70D4">
      <w:pPr>
        <w:rPr>
          <w:rFonts w:ascii="Century Gothic" w:hAnsi="Century Gothic" w:cs="Arial"/>
          <w:b/>
          <w:bCs/>
          <w:sz w:val="28"/>
          <w:szCs w:val="28"/>
        </w:rPr>
      </w:pPr>
      <w:r w:rsidRPr="00145DF5">
        <w:rPr>
          <w:rFonts w:ascii="Century Gothic" w:hAnsi="Century Gothic" w:cs="Arial"/>
          <w:b/>
          <w:bCs/>
          <w:sz w:val="28"/>
          <w:szCs w:val="28"/>
        </w:rPr>
        <w:br w:type="page"/>
      </w:r>
    </w:p>
    <w:p w:rsidR="009A5808" w:rsidRPr="00145DF5" w:rsidRDefault="009A5808" w:rsidP="00BE70D4">
      <w:pPr>
        <w:autoSpaceDE w:val="0"/>
        <w:autoSpaceDN w:val="0"/>
        <w:adjustRightInd w:val="0"/>
        <w:jc w:val="center"/>
        <w:rPr>
          <w:rFonts w:ascii="Century Gothic" w:hAnsi="Century Gothic" w:cs="Arial"/>
          <w:b/>
          <w:bCs/>
          <w:sz w:val="28"/>
          <w:szCs w:val="28"/>
        </w:rPr>
      </w:pPr>
      <w:r w:rsidRPr="00145DF5">
        <w:rPr>
          <w:rFonts w:ascii="Century Gothic" w:hAnsi="Century Gothic" w:cs="Arial"/>
          <w:b/>
          <w:bCs/>
          <w:sz w:val="28"/>
          <w:szCs w:val="28"/>
        </w:rPr>
        <w:lastRenderedPageBreak/>
        <w:t>ANEXO V</w:t>
      </w:r>
      <w:r w:rsidR="000C6F94" w:rsidRPr="00145DF5">
        <w:rPr>
          <w:rFonts w:ascii="Century Gothic" w:hAnsi="Century Gothic" w:cs="Arial"/>
          <w:b/>
          <w:bCs/>
          <w:sz w:val="28"/>
          <w:szCs w:val="28"/>
        </w:rPr>
        <w:t>II</w:t>
      </w:r>
    </w:p>
    <w:p w:rsidR="009A5808" w:rsidRPr="00145DF5" w:rsidRDefault="009A5808" w:rsidP="00BE70D4">
      <w:pPr>
        <w:autoSpaceDE w:val="0"/>
        <w:autoSpaceDN w:val="0"/>
        <w:adjustRightInd w:val="0"/>
        <w:jc w:val="both"/>
        <w:rPr>
          <w:rFonts w:ascii="Century Gothic" w:hAnsi="Century Gothic" w:cs="Arial"/>
          <w:b/>
          <w:bCs/>
          <w:sz w:val="28"/>
          <w:szCs w:val="28"/>
        </w:rPr>
      </w:pPr>
      <w:r w:rsidRPr="00145DF5">
        <w:rPr>
          <w:rFonts w:ascii="Century Gothic" w:hAnsi="Century Gothic" w:cs="Arial"/>
          <w:b/>
          <w:bCs/>
          <w:sz w:val="28"/>
          <w:szCs w:val="28"/>
        </w:rPr>
        <w:t>DECLARAÇÃO DE SITUAÇÃO REGULAR PERANTE O MINISTÉRIO DO TRABALHO</w:t>
      </w:r>
    </w:p>
    <w:p w:rsidR="005D17EC" w:rsidRPr="00145DF5" w:rsidRDefault="005D17EC" w:rsidP="00BE70D4">
      <w:pPr>
        <w:autoSpaceDE w:val="0"/>
        <w:autoSpaceDN w:val="0"/>
        <w:adjustRightInd w:val="0"/>
        <w:jc w:val="both"/>
        <w:rPr>
          <w:rFonts w:ascii="Century Gothic" w:hAnsi="Century Gothic" w:cs="Arial"/>
          <w:sz w:val="28"/>
          <w:szCs w:val="28"/>
        </w:rPr>
      </w:pPr>
    </w:p>
    <w:p w:rsidR="005D17EC" w:rsidRPr="00145DF5" w:rsidRDefault="005D17EC" w:rsidP="00BE70D4">
      <w:pPr>
        <w:autoSpaceDE w:val="0"/>
        <w:autoSpaceDN w:val="0"/>
        <w:adjustRightInd w:val="0"/>
        <w:jc w:val="both"/>
        <w:rPr>
          <w:rFonts w:ascii="Century Gothic" w:hAnsi="Century Gothic" w:cs="Arial"/>
          <w:sz w:val="28"/>
          <w:szCs w:val="28"/>
        </w:rPr>
      </w:pPr>
    </w:p>
    <w:p w:rsidR="005D17EC" w:rsidRPr="00145DF5" w:rsidRDefault="005D17EC"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sz w:val="28"/>
          <w:szCs w:val="28"/>
        </w:rPr>
        <w:t>Eu ________________________ (nome completo), representante legal da empresa ____________________________ (denominação da pessoa jurídica), interessada em partic</w:t>
      </w:r>
      <w:r w:rsidR="00EC0E0C" w:rsidRPr="00145DF5">
        <w:rPr>
          <w:rFonts w:ascii="Century Gothic" w:hAnsi="Century Gothic" w:cs="Arial"/>
          <w:sz w:val="28"/>
          <w:szCs w:val="28"/>
        </w:rPr>
        <w:t xml:space="preserve">ipar do Pregão Presencial nº </w:t>
      </w:r>
      <w:r w:rsidR="00ED459C" w:rsidRPr="00145DF5">
        <w:rPr>
          <w:rFonts w:ascii="Century Gothic" w:hAnsi="Century Gothic" w:cs="Arial"/>
          <w:sz w:val="28"/>
          <w:szCs w:val="28"/>
        </w:rPr>
        <w:t>00</w:t>
      </w:r>
      <w:r w:rsidR="002078E6">
        <w:rPr>
          <w:rFonts w:ascii="Century Gothic" w:hAnsi="Century Gothic" w:cs="Arial"/>
          <w:sz w:val="28"/>
          <w:szCs w:val="28"/>
        </w:rPr>
        <w:t>6</w:t>
      </w:r>
      <w:r w:rsidR="00ED459C" w:rsidRPr="00145DF5">
        <w:rPr>
          <w:rFonts w:ascii="Century Gothic" w:hAnsi="Century Gothic" w:cs="Arial"/>
          <w:sz w:val="28"/>
          <w:szCs w:val="28"/>
        </w:rPr>
        <w:t>/2017</w:t>
      </w:r>
      <w:r w:rsidRPr="00145DF5">
        <w:rPr>
          <w:rFonts w:ascii="Century Gothic" w:hAnsi="Century Gothic" w:cs="Arial"/>
          <w:sz w:val="28"/>
          <w:szCs w:val="28"/>
        </w:rPr>
        <w:t>, d</w:t>
      </w:r>
      <w:r w:rsidR="009002CF" w:rsidRPr="00145DF5">
        <w:rPr>
          <w:rFonts w:ascii="Century Gothic" w:hAnsi="Century Gothic" w:cs="Arial"/>
          <w:sz w:val="28"/>
          <w:szCs w:val="28"/>
        </w:rPr>
        <w:t>o</w:t>
      </w:r>
      <w:r w:rsidRPr="00145DF5">
        <w:rPr>
          <w:rFonts w:ascii="Century Gothic" w:hAnsi="Century Gothic" w:cs="Arial"/>
          <w:sz w:val="28"/>
          <w:szCs w:val="28"/>
        </w:rPr>
        <w:t xml:space="preserve"> </w:t>
      </w:r>
      <w:r w:rsidR="009002CF" w:rsidRPr="00145DF5">
        <w:rPr>
          <w:rFonts w:ascii="Century Gothic" w:hAnsi="Century Gothic" w:cs="Arial"/>
          <w:sz w:val="28"/>
          <w:szCs w:val="28"/>
        </w:rPr>
        <w:t xml:space="preserve">Município de </w:t>
      </w:r>
      <w:r w:rsidR="00534669" w:rsidRPr="00145DF5">
        <w:rPr>
          <w:rFonts w:ascii="Century Gothic" w:hAnsi="Century Gothic"/>
          <w:bCs/>
          <w:sz w:val="28"/>
          <w:szCs w:val="28"/>
        </w:rPr>
        <w:t>Pirajuí</w:t>
      </w:r>
      <w:r w:rsidRPr="00145DF5">
        <w:rPr>
          <w:rFonts w:ascii="Century Gothic" w:hAnsi="Century Gothic" w:cs="Arial"/>
          <w:sz w:val="28"/>
          <w:szCs w:val="28"/>
        </w:rPr>
        <w:t xml:space="preserve">, </w:t>
      </w:r>
      <w:r w:rsidRPr="00145DF5">
        <w:rPr>
          <w:rFonts w:ascii="Century Gothic" w:hAnsi="Century Gothic"/>
          <w:sz w:val="28"/>
          <w:szCs w:val="28"/>
        </w:rPr>
        <w:t>declaro, sob as penas da lei, que, nos termos do inciso V do artigo 27 da Lei nº 8.666, de 21 de junho de 1993 e alterações posteriores, a __________________(denominação da pessoa jurídica) encontra-se em situação regular perante o Ministério do Trabalho, no que se refere à observância do disposto no inciso XXXIII do artigo 7º da Constituição Federal</w:t>
      </w:r>
      <w:r w:rsidRPr="00145DF5">
        <w:rPr>
          <w:rFonts w:ascii="Century Gothic" w:hAnsi="Century Gothic" w:cs="Arial"/>
          <w:sz w:val="28"/>
          <w:szCs w:val="28"/>
        </w:rPr>
        <w:t>.</w:t>
      </w:r>
    </w:p>
    <w:p w:rsidR="00272581" w:rsidRPr="00145DF5" w:rsidRDefault="00272581" w:rsidP="00BE70D4">
      <w:pPr>
        <w:autoSpaceDE w:val="0"/>
        <w:autoSpaceDN w:val="0"/>
        <w:adjustRightInd w:val="0"/>
        <w:jc w:val="center"/>
        <w:rPr>
          <w:rFonts w:ascii="Century Gothic" w:hAnsi="Century Gothic" w:cs="Arial"/>
          <w:sz w:val="28"/>
          <w:szCs w:val="28"/>
        </w:rPr>
      </w:pPr>
    </w:p>
    <w:p w:rsidR="000F612C" w:rsidRPr="00145DF5" w:rsidRDefault="000F612C" w:rsidP="000F612C">
      <w:pPr>
        <w:autoSpaceDE w:val="0"/>
        <w:autoSpaceDN w:val="0"/>
        <w:adjustRightInd w:val="0"/>
        <w:jc w:val="center"/>
        <w:rPr>
          <w:rFonts w:ascii="Century Gothic" w:hAnsi="Century Gothic" w:cs="Arial"/>
          <w:sz w:val="28"/>
          <w:szCs w:val="28"/>
        </w:rPr>
      </w:pPr>
      <w:r w:rsidRPr="00145DF5">
        <w:rPr>
          <w:rFonts w:ascii="Century Gothic" w:hAnsi="Century Gothic" w:cs="Arial"/>
          <w:sz w:val="28"/>
          <w:szCs w:val="28"/>
        </w:rPr>
        <w:t>Pirajuí, em ____ de ________________ de 2017.</w:t>
      </w:r>
    </w:p>
    <w:p w:rsidR="000F612C" w:rsidRPr="00145DF5" w:rsidRDefault="000F612C" w:rsidP="000F612C">
      <w:pPr>
        <w:autoSpaceDE w:val="0"/>
        <w:autoSpaceDN w:val="0"/>
        <w:adjustRightInd w:val="0"/>
        <w:jc w:val="center"/>
        <w:rPr>
          <w:rFonts w:ascii="Century Gothic" w:hAnsi="Century Gothic" w:cs="Arial"/>
          <w:sz w:val="28"/>
          <w:szCs w:val="28"/>
        </w:rPr>
      </w:pPr>
    </w:p>
    <w:p w:rsidR="000F612C" w:rsidRPr="00145DF5" w:rsidRDefault="000F612C" w:rsidP="000F612C">
      <w:pPr>
        <w:autoSpaceDE w:val="0"/>
        <w:autoSpaceDN w:val="0"/>
        <w:adjustRightInd w:val="0"/>
        <w:jc w:val="center"/>
        <w:rPr>
          <w:rFonts w:ascii="Century Gothic" w:hAnsi="Century Gothic" w:cs="Arial"/>
          <w:sz w:val="28"/>
          <w:szCs w:val="28"/>
        </w:rPr>
      </w:pPr>
    </w:p>
    <w:p w:rsidR="000F612C" w:rsidRPr="00145DF5" w:rsidRDefault="000F612C" w:rsidP="000F612C">
      <w:pPr>
        <w:autoSpaceDE w:val="0"/>
        <w:autoSpaceDN w:val="0"/>
        <w:adjustRightInd w:val="0"/>
        <w:jc w:val="center"/>
        <w:rPr>
          <w:rFonts w:ascii="Century Gothic" w:hAnsi="Century Gothic" w:cs="Arial"/>
          <w:sz w:val="28"/>
          <w:szCs w:val="28"/>
        </w:rPr>
      </w:pPr>
      <w:r w:rsidRPr="00145DF5">
        <w:rPr>
          <w:rFonts w:ascii="Century Gothic" w:hAnsi="Century Gothic" w:cs="Arial"/>
          <w:sz w:val="28"/>
          <w:szCs w:val="28"/>
        </w:rPr>
        <w:t>____________________________</w:t>
      </w:r>
    </w:p>
    <w:p w:rsidR="000F612C" w:rsidRPr="00145DF5" w:rsidRDefault="000F612C" w:rsidP="000F612C">
      <w:pPr>
        <w:autoSpaceDE w:val="0"/>
        <w:autoSpaceDN w:val="0"/>
        <w:adjustRightInd w:val="0"/>
        <w:jc w:val="center"/>
        <w:rPr>
          <w:rFonts w:ascii="Century Gothic" w:hAnsi="Century Gothic" w:cs="Arial"/>
          <w:sz w:val="28"/>
          <w:szCs w:val="28"/>
        </w:rPr>
      </w:pPr>
      <w:r w:rsidRPr="00145DF5">
        <w:rPr>
          <w:rFonts w:ascii="Century Gothic" w:hAnsi="Century Gothic" w:cs="Arial"/>
          <w:sz w:val="28"/>
          <w:szCs w:val="28"/>
        </w:rPr>
        <w:t>Assinatura do representante legal</w:t>
      </w:r>
    </w:p>
    <w:p w:rsidR="000F612C" w:rsidRPr="00145DF5" w:rsidRDefault="000F612C" w:rsidP="000F612C">
      <w:pPr>
        <w:autoSpaceDE w:val="0"/>
        <w:autoSpaceDN w:val="0"/>
        <w:adjustRightInd w:val="0"/>
        <w:jc w:val="both"/>
        <w:rPr>
          <w:rFonts w:ascii="Century Gothic" w:hAnsi="Century Gothic" w:cs="Arial"/>
          <w:sz w:val="28"/>
          <w:szCs w:val="28"/>
        </w:rPr>
      </w:pPr>
    </w:p>
    <w:p w:rsidR="000F612C" w:rsidRPr="00145DF5" w:rsidRDefault="000F612C" w:rsidP="000F612C">
      <w:pPr>
        <w:autoSpaceDE w:val="0"/>
        <w:autoSpaceDN w:val="0"/>
        <w:adjustRightInd w:val="0"/>
        <w:jc w:val="both"/>
        <w:rPr>
          <w:rFonts w:ascii="Century Gothic" w:hAnsi="Century Gothic" w:cs="Arial"/>
          <w:sz w:val="28"/>
          <w:szCs w:val="28"/>
        </w:rPr>
      </w:pPr>
      <w:r w:rsidRPr="00145DF5">
        <w:rPr>
          <w:rFonts w:ascii="Century Gothic" w:hAnsi="Century Gothic" w:cs="Arial"/>
          <w:sz w:val="28"/>
          <w:szCs w:val="28"/>
        </w:rPr>
        <w:t>Nome do representante legal: _________________________________</w:t>
      </w:r>
    </w:p>
    <w:p w:rsidR="000F612C" w:rsidRPr="00145DF5" w:rsidRDefault="000F612C" w:rsidP="000F612C">
      <w:pPr>
        <w:autoSpaceDE w:val="0"/>
        <w:autoSpaceDN w:val="0"/>
        <w:adjustRightInd w:val="0"/>
        <w:jc w:val="both"/>
        <w:rPr>
          <w:rFonts w:ascii="Century Gothic" w:hAnsi="Century Gothic" w:cs="Arial"/>
          <w:sz w:val="28"/>
          <w:szCs w:val="28"/>
        </w:rPr>
      </w:pPr>
      <w:r w:rsidRPr="00145DF5">
        <w:rPr>
          <w:rFonts w:ascii="Century Gothic" w:hAnsi="Century Gothic" w:cs="Arial"/>
          <w:sz w:val="28"/>
          <w:szCs w:val="28"/>
        </w:rPr>
        <w:t>RG do representante legal: __________________________</w:t>
      </w:r>
    </w:p>
    <w:p w:rsidR="000F612C" w:rsidRPr="00145DF5" w:rsidRDefault="000F612C" w:rsidP="000F612C">
      <w:pPr>
        <w:autoSpaceDE w:val="0"/>
        <w:autoSpaceDN w:val="0"/>
        <w:adjustRightInd w:val="0"/>
        <w:jc w:val="both"/>
        <w:rPr>
          <w:rFonts w:ascii="Century Gothic" w:hAnsi="Century Gothic" w:cs="Arial"/>
          <w:sz w:val="28"/>
          <w:szCs w:val="28"/>
        </w:rPr>
      </w:pPr>
      <w:r w:rsidRPr="00145DF5">
        <w:rPr>
          <w:rFonts w:ascii="Century Gothic" w:hAnsi="Century Gothic" w:cs="Arial"/>
          <w:sz w:val="28"/>
          <w:szCs w:val="28"/>
        </w:rPr>
        <w:t>CPF do representante legal: _________________________</w:t>
      </w:r>
    </w:p>
    <w:p w:rsidR="00272581" w:rsidRPr="00145DF5" w:rsidRDefault="00272581" w:rsidP="000F612C">
      <w:pPr>
        <w:autoSpaceDE w:val="0"/>
        <w:autoSpaceDN w:val="0"/>
        <w:adjustRightInd w:val="0"/>
        <w:jc w:val="center"/>
        <w:rPr>
          <w:rFonts w:ascii="Century Gothic" w:hAnsi="Century Gothic" w:cs="Arial"/>
          <w:sz w:val="28"/>
          <w:szCs w:val="28"/>
        </w:rPr>
      </w:pPr>
    </w:p>
    <w:sectPr w:rsidR="00272581" w:rsidRPr="00145DF5" w:rsidSect="00534669">
      <w:headerReference w:type="default" r:id="rId9"/>
      <w:footerReference w:type="even" r:id="rId10"/>
      <w:footerReference w:type="default" r:id="rId11"/>
      <w:pgSz w:w="11907" w:h="16840" w:code="9"/>
      <w:pgMar w:top="1761" w:right="737" w:bottom="1134" w:left="737"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34C3" w:rsidRDefault="002834C3">
      <w:r>
        <w:separator/>
      </w:r>
    </w:p>
  </w:endnote>
  <w:endnote w:type="continuationSeparator" w:id="1">
    <w:p w:rsidR="002834C3" w:rsidRDefault="002834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badi MT Condensed Light">
    <w:altName w:val="Gill Sans MT Condensed"/>
    <w:charset w:val="00"/>
    <w:family w:val="swiss"/>
    <w:pitch w:val="variable"/>
    <w:sig w:usb0="00000003" w:usb1="00000000" w:usb2="00000000" w:usb3="00000000" w:csb0="00000001" w:csb1="00000000"/>
  </w:font>
  <w:font w:name="Albertus Medium">
    <w:altName w:val="Century Gothic"/>
    <w:charset w:val="00"/>
    <w:family w:val="swiss"/>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AED" w:rsidRDefault="00C60AE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60AED" w:rsidRDefault="00C60AED">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AED" w:rsidRPr="00BE70D4" w:rsidRDefault="00C60AED" w:rsidP="00BE70D4">
    <w:pPr>
      <w:pStyle w:val="Rodap"/>
      <w:jc w:val="center"/>
      <w:rPr>
        <w:rFonts w:ascii="Century Gothic" w:hAnsi="Century Gothic"/>
        <w:b/>
        <w:sz w:val="16"/>
        <w:szCs w:val="16"/>
      </w:rPr>
    </w:pPr>
    <w:r>
      <w:rPr>
        <w:rFonts w:ascii="Century Gothic" w:hAnsi="Century Gothic" w:cs="Arial"/>
        <w:b/>
        <w:sz w:val="16"/>
        <w:szCs w:val="16"/>
      </w:rPr>
      <w:t>Pregão Presencial nº 006/2017</w:t>
    </w:r>
    <w:r w:rsidRPr="00BE70D4">
      <w:rPr>
        <w:rFonts w:ascii="Century Gothic" w:hAnsi="Century Gothic" w:cs="Arial"/>
        <w:b/>
        <w:sz w:val="16"/>
        <w:szCs w:val="16"/>
      </w:rPr>
      <w:t xml:space="preserve"> </w:t>
    </w:r>
    <w:r>
      <w:rPr>
        <w:rFonts w:ascii="Century Gothic" w:hAnsi="Century Gothic" w:cs="Arial"/>
        <w:b/>
        <w:sz w:val="16"/>
        <w:szCs w:val="16"/>
      </w:rPr>
      <w:t>–</w:t>
    </w:r>
    <w:r w:rsidRPr="00BE70D4">
      <w:rPr>
        <w:rFonts w:ascii="Century Gothic" w:hAnsi="Century Gothic" w:cs="Arial"/>
        <w:b/>
        <w:sz w:val="16"/>
        <w:szCs w:val="16"/>
      </w:rPr>
      <w:t xml:space="preserve"> </w:t>
    </w:r>
    <w:r w:rsidRPr="00BE70D4">
      <w:rPr>
        <w:rFonts w:ascii="Century Gothic" w:eastAsiaTheme="minorHAnsi" w:hAnsi="Century Gothic" w:cs="Arial"/>
        <w:b/>
        <w:bCs/>
        <w:sz w:val="16"/>
        <w:szCs w:val="28"/>
        <w:lang w:eastAsia="en-US"/>
      </w:rPr>
      <w:t xml:space="preserve">Processo n° </w:t>
    </w:r>
    <w:r>
      <w:rPr>
        <w:rFonts w:ascii="Century Gothic" w:eastAsiaTheme="minorHAnsi" w:hAnsi="Century Gothic" w:cs="Arial"/>
        <w:b/>
        <w:bCs/>
        <w:sz w:val="16"/>
        <w:szCs w:val="28"/>
        <w:lang w:eastAsia="en-US"/>
      </w:rPr>
      <w:t>011/2017</w:t>
    </w:r>
    <w:sdt>
      <w:sdtPr>
        <w:rPr>
          <w:rFonts w:ascii="Century Gothic" w:hAnsi="Century Gothic"/>
          <w:b/>
          <w:sz w:val="16"/>
          <w:szCs w:val="16"/>
        </w:rPr>
        <w:id w:val="8036113"/>
        <w:docPartObj>
          <w:docPartGallery w:val="Page Numbers (Bottom of Page)"/>
          <w:docPartUnique/>
        </w:docPartObj>
      </w:sdtPr>
      <w:sdtContent>
        <w:r w:rsidRPr="00BE70D4">
          <w:rPr>
            <w:rFonts w:ascii="Century Gothic" w:hAnsi="Century Gothic"/>
            <w:b/>
            <w:sz w:val="16"/>
            <w:szCs w:val="16"/>
          </w:rPr>
          <w:t xml:space="preserve"> – Fls. </w:t>
        </w:r>
        <w:r w:rsidRPr="00BE70D4">
          <w:rPr>
            <w:rFonts w:ascii="Century Gothic" w:hAnsi="Century Gothic"/>
            <w:b/>
            <w:sz w:val="16"/>
            <w:szCs w:val="16"/>
          </w:rPr>
          <w:fldChar w:fldCharType="begin"/>
        </w:r>
        <w:r w:rsidRPr="00BE70D4">
          <w:rPr>
            <w:rFonts w:ascii="Century Gothic" w:hAnsi="Century Gothic"/>
            <w:b/>
            <w:sz w:val="16"/>
            <w:szCs w:val="16"/>
          </w:rPr>
          <w:instrText xml:space="preserve"> PAGE   \* MERGEFORMAT </w:instrText>
        </w:r>
        <w:r w:rsidRPr="00BE70D4">
          <w:rPr>
            <w:rFonts w:ascii="Century Gothic" w:hAnsi="Century Gothic"/>
            <w:b/>
            <w:sz w:val="16"/>
            <w:szCs w:val="16"/>
          </w:rPr>
          <w:fldChar w:fldCharType="separate"/>
        </w:r>
        <w:r w:rsidR="00F95766" w:rsidRPr="00F95766">
          <w:rPr>
            <w:rFonts w:ascii="Century Gothic" w:hAnsi="Century Gothic"/>
            <w:b/>
            <w:noProof/>
            <w:sz w:val="16"/>
            <w:szCs w:val="16"/>
            <w:lang w:val="en-US"/>
          </w:rPr>
          <w:t>1</w:t>
        </w:r>
        <w:r w:rsidRPr="00BE70D4">
          <w:rPr>
            <w:rFonts w:ascii="Century Gothic" w:hAnsi="Century Gothic"/>
            <w:b/>
            <w:sz w:val="16"/>
            <w:szCs w:val="16"/>
          </w:rPr>
          <w:fldChar w:fldCharType="end"/>
        </w:r>
        <w:r w:rsidRPr="00BE70D4">
          <w:rPr>
            <w:rFonts w:ascii="Century Gothic" w:hAnsi="Century Gothic" w:cs="Arial"/>
            <w:b/>
            <w:sz w:val="16"/>
            <w:szCs w:val="16"/>
          </w:rPr>
          <w:t>/</w:t>
        </w:r>
        <w:r>
          <w:rPr>
            <w:rFonts w:ascii="Century Gothic" w:hAnsi="Century Gothic" w:cs="Arial"/>
            <w:b/>
            <w:sz w:val="16"/>
            <w:szCs w:val="16"/>
          </w:rPr>
          <w:t>5</w:t>
        </w:r>
        <w:r w:rsidR="00F95766">
          <w:rPr>
            <w:rFonts w:ascii="Century Gothic" w:hAnsi="Century Gothic" w:cs="Arial"/>
            <w:b/>
            <w:sz w:val="16"/>
            <w:szCs w:val="16"/>
          </w:rPr>
          <w:t>6</w:t>
        </w:r>
      </w:sdtContent>
    </w:sdt>
  </w:p>
  <w:p w:rsidR="00C60AED" w:rsidRPr="00F44602" w:rsidRDefault="00C60AED">
    <w:pPr>
      <w:pStyle w:val="Rodap"/>
      <w:ind w:right="360"/>
      <w:rPr>
        <w:rFonts w:ascii="Arial Narrow" w:hAnsi="Arial Narrow"/>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34C3" w:rsidRDefault="002834C3">
      <w:r>
        <w:separator/>
      </w:r>
    </w:p>
  </w:footnote>
  <w:footnote w:type="continuationSeparator" w:id="1">
    <w:p w:rsidR="002834C3" w:rsidRDefault="002834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74" w:type="pct"/>
      <w:shd w:val="clear" w:color="auto" w:fill="FFFFFF"/>
      <w:tblLook w:val="04A0"/>
    </w:tblPr>
    <w:tblGrid>
      <w:gridCol w:w="1937"/>
      <w:gridCol w:w="8444"/>
    </w:tblGrid>
    <w:tr w:rsidR="00C60AED" w:rsidRPr="0040340E" w:rsidTr="00534669">
      <w:trPr>
        <w:trHeight w:val="1538"/>
      </w:trPr>
      <w:tc>
        <w:tcPr>
          <w:tcW w:w="933" w:type="pct"/>
          <w:shd w:val="clear" w:color="auto" w:fill="FFFFFF"/>
        </w:tcPr>
        <w:p w:rsidR="00C60AED" w:rsidRPr="00053EBD" w:rsidRDefault="00C60AED" w:rsidP="00534669">
          <w:pPr>
            <w:pStyle w:val="Cabealho"/>
            <w:jc w:val="center"/>
            <w:rPr>
              <w:rFonts w:ascii="Old English Text MT" w:hAnsi="Old English Text MT"/>
              <w:outline/>
              <w:shadow/>
              <w:sz w:val="16"/>
              <w:szCs w:val="16"/>
            </w:rPr>
          </w:pPr>
          <w:r w:rsidRPr="00613741">
            <w:rPr>
              <w:rFonts w:ascii="Old English Text MT" w:hAnsi="Old English Text MT"/>
              <w:shadow/>
              <w:noProof/>
              <w:sz w:val="60"/>
              <w:szCs w:val="60"/>
            </w:rPr>
            <w:pict>
              <v:shapetype id="_x0000_t32" coordsize="21600,21600" o:spt="32" o:oned="t" path="m,l21600,21600e" filled="f">
                <v:path arrowok="t" fillok="f" o:connecttype="none"/>
                <o:lock v:ext="edit" shapetype="t"/>
              </v:shapetype>
              <v:shape id="_x0000_s1040" type="#_x0000_t32" style="position:absolute;left:0;text-align:left;margin-left:30.9pt;margin-top:84.55pt;width:480.9pt;height:0;z-index:251661312" o:connectortype="straight" strokeweight="1pt"/>
            </w:pict>
          </w:r>
          <w:r>
            <w:rPr>
              <w:rFonts w:ascii="Old English Text MT" w:hAnsi="Old English Text MT"/>
              <w:outline/>
              <w:shadow/>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31.65pt;margin-top:5.4pt;width:61.2pt;height:72.4pt;z-index:251660288">
                <v:imagedata r:id="rId1" o:title=""/>
                <w10:wrap type="square"/>
              </v:shape>
              <o:OLEObject Type="Embed" ProgID="PBrush" ShapeID="_x0000_s1039" DrawAspect="Content" ObjectID="_1551732303" r:id="rId2"/>
            </w:pict>
          </w:r>
        </w:p>
      </w:tc>
      <w:tc>
        <w:tcPr>
          <w:tcW w:w="4067" w:type="pct"/>
          <w:shd w:val="clear" w:color="auto" w:fill="FFFFFF"/>
        </w:tcPr>
        <w:p w:rsidR="00C60AED" w:rsidRPr="00053EBD" w:rsidRDefault="00C60AED" w:rsidP="00534669">
          <w:pPr>
            <w:pStyle w:val="Ttulo1"/>
            <w:spacing w:line="276" w:lineRule="auto"/>
            <w:rPr>
              <w:sz w:val="60"/>
              <w:szCs w:val="60"/>
            </w:rPr>
          </w:pPr>
          <w:r w:rsidRPr="00053EBD">
            <w:rPr>
              <w:rFonts w:ascii="Old English Text MT" w:hAnsi="Old English Text MT"/>
              <w:shadow/>
              <w:sz w:val="60"/>
              <w:szCs w:val="60"/>
            </w:rPr>
            <w:t>Prefeitura Municipal de Pirajuí</w:t>
          </w:r>
        </w:p>
        <w:p w:rsidR="00C60AED" w:rsidRPr="00053EBD" w:rsidRDefault="00C60AED" w:rsidP="00534669">
          <w:pPr>
            <w:pStyle w:val="Cabealho"/>
            <w:spacing w:line="276" w:lineRule="auto"/>
            <w:jc w:val="center"/>
            <w:rPr>
              <w:rFonts w:ascii="Copperplate Gothic Light" w:hAnsi="Copperplate Gothic Light"/>
              <w:b/>
              <w:sz w:val="24"/>
              <w:szCs w:val="24"/>
            </w:rPr>
          </w:pPr>
          <w:r>
            <w:rPr>
              <w:rFonts w:ascii="Copperplate Gothic Light" w:hAnsi="Copperplate Gothic Light"/>
              <w:b/>
              <w:sz w:val="24"/>
              <w:szCs w:val="24"/>
            </w:rPr>
            <w:t>DIRETORIA DE DIVISÃO DE COMPRAS E LICITAÇÕES</w:t>
          </w:r>
        </w:p>
        <w:p w:rsidR="00C60AED" w:rsidRPr="00534669" w:rsidRDefault="00C60AED" w:rsidP="00534669">
          <w:pPr>
            <w:pStyle w:val="Cabealho"/>
            <w:spacing w:line="276" w:lineRule="auto"/>
            <w:jc w:val="center"/>
            <w:rPr>
              <w:rFonts w:ascii="Times New Roman" w:hAnsi="Times New Roman"/>
              <w:i/>
              <w:sz w:val="18"/>
              <w:szCs w:val="18"/>
            </w:rPr>
          </w:pPr>
          <w:r w:rsidRPr="00534669">
            <w:rPr>
              <w:rFonts w:ascii="Times New Roman" w:hAnsi="Times New Roman"/>
              <w:i/>
              <w:sz w:val="18"/>
              <w:szCs w:val="18"/>
            </w:rPr>
            <w:t>Praça Dr. Pedro da Rocha Braga, 116 - Centro - Tel: (14) 3572-8229 - Ramal 8218</w:t>
          </w:r>
        </w:p>
        <w:p w:rsidR="00C60AED" w:rsidRDefault="00C60AED" w:rsidP="00534669">
          <w:pPr>
            <w:pStyle w:val="Cabealho"/>
            <w:spacing w:line="276" w:lineRule="auto"/>
            <w:jc w:val="center"/>
            <w:rPr>
              <w:rFonts w:ascii="Times New Roman" w:hAnsi="Times New Roman"/>
              <w:i/>
              <w:color w:val="000000"/>
              <w:sz w:val="18"/>
              <w:szCs w:val="18"/>
            </w:rPr>
          </w:pPr>
          <w:r w:rsidRPr="00534669">
            <w:rPr>
              <w:rFonts w:ascii="Times New Roman" w:hAnsi="Times New Roman"/>
              <w:i/>
              <w:sz w:val="18"/>
              <w:szCs w:val="18"/>
            </w:rPr>
            <w:t>CEP 16.600-000 - Pirajuí/SP-CNPJ: 44.555.027/0001-16</w:t>
          </w:r>
          <w:r w:rsidRPr="00534669">
            <w:rPr>
              <w:rFonts w:ascii="Times New Roman" w:hAnsi="Times New Roman"/>
              <w:i/>
              <w:color w:val="000000"/>
              <w:sz w:val="18"/>
              <w:szCs w:val="18"/>
            </w:rPr>
            <w:t>-e-mail: licitacao@pirajui.sp.gov.br</w:t>
          </w:r>
        </w:p>
        <w:p w:rsidR="00C60AED" w:rsidRPr="00534669" w:rsidRDefault="00C60AED" w:rsidP="00534669">
          <w:pPr>
            <w:pStyle w:val="Cabealho"/>
            <w:spacing w:line="276" w:lineRule="auto"/>
            <w:rPr>
              <w:rFonts w:ascii="Old English Text MT" w:hAnsi="Old English Text MT"/>
              <w:outline/>
              <w:shadow/>
              <w:szCs w:val="56"/>
            </w:rPr>
          </w:pPr>
        </w:p>
      </w:tc>
    </w:tr>
  </w:tbl>
  <w:p w:rsidR="00C60AED" w:rsidRPr="00534669" w:rsidRDefault="00C60AED" w:rsidP="0053466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3"/>
    <w:multiLevelType w:val="singleLevel"/>
    <w:tmpl w:val="00000003"/>
    <w:name w:val="WW8Num4"/>
    <w:lvl w:ilvl="0">
      <w:start w:val="1"/>
      <w:numFmt w:val="lowerLetter"/>
      <w:lvlText w:val="%1)"/>
      <w:lvlJc w:val="left"/>
      <w:pPr>
        <w:tabs>
          <w:tab w:val="num" w:pos="720"/>
        </w:tabs>
        <w:ind w:left="720" w:hanging="360"/>
      </w:pPr>
      <w:rPr>
        <w:sz w:val="24"/>
        <w:szCs w:val="24"/>
      </w:rPr>
    </w:lvl>
  </w:abstractNum>
  <w:abstractNum w:abstractNumId="2">
    <w:nsid w:val="00000004"/>
    <w:multiLevelType w:val="singleLevel"/>
    <w:tmpl w:val="00000004"/>
    <w:name w:val="WW8Num42"/>
    <w:lvl w:ilvl="0">
      <w:start w:val="1"/>
      <w:numFmt w:val="lowerLetter"/>
      <w:lvlText w:val="%1)"/>
      <w:lvlJc w:val="left"/>
      <w:pPr>
        <w:tabs>
          <w:tab w:val="num" w:pos="720"/>
        </w:tabs>
        <w:ind w:left="720" w:hanging="360"/>
      </w:pPr>
      <w:rPr>
        <w:sz w:val="24"/>
        <w:szCs w:val="24"/>
      </w:rPr>
    </w:lvl>
  </w:abstractNum>
  <w:abstractNum w:abstractNumId="3">
    <w:nsid w:val="01DC0D91"/>
    <w:multiLevelType w:val="hybridMultilevel"/>
    <w:tmpl w:val="5E567044"/>
    <w:lvl w:ilvl="0" w:tplc="30DE23D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D493AF9"/>
    <w:multiLevelType w:val="hybridMultilevel"/>
    <w:tmpl w:val="7488DF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63F4EC3"/>
    <w:multiLevelType w:val="hybridMultilevel"/>
    <w:tmpl w:val="7640F66E"/>
    <w:lvl w:ilvl="0" w:tplc="537ACE86">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51822E5B"/>
    <w:multiLevelType w:val="hybridMultilevel"/>
    <w:tmpl w:val="4F7255EA"/>
    <w:lvl w:ilvl="0" w:tplc="EC3080C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395158F"/>
    <w:multiLevelType w:val="hybridMultilevel"/>
    <w:tmpl w:val="85FC85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3"/>
  </w:num>
  <w:num w:numId="5">
    <w:abstractNumId w:val="4"/>
  </w:num>
  <w:num w:numId="6">
    <w:abstractNumId w:val="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stylePaneFormatFilter w:val="3F01"/>
  <w:defaultTabStop w:val="708"/>
  <w:hyphenationZone w:val="425"/>
  <w:drawingGridHorizontalSpacing w:val="120"/>
  <w:displayHorizontalDrawingGridEvery w:val="2"/>
  <w:displayVerticalDrawingGridEvery w:val="2"/>
  <w:characterSpacingControl w:val="doNotCompress"/>
  <w:hdrShapeDefaults>
    <o:shapedefaults v:ext="edit" spidmax="47106" fillcolor="white" stroke="f">
      <v:fill color="white"/>
      <v:stroke on="f"/>
      <o:colormenu v:ext="edit" strokecolor="none"/>
    </o:shapedefaults>
    <o:shapelayout v:ext="edit">
      <o:idmap v:ext="edit" data="1"/>
      <o:rules v:ext="edit">
        <o:r id="V:Rule2" type="connector" idref="#_x0000_s1040"/>
      </o:rules>
      <o:regrouptable v:ext="edit">
        <o:entry new="1" old="0"/>
        <o:entry new="2" old="0"/>
        <o:entry new="3" old="0"/>
        <o:entry new="4" old="0"/>
      </o:regrouptable>
    </o:shapelayout>
  </w:hdrShapeDefaults>
  <w:footnotePr>
    <w:footnote w:id="0"/>
    <w:footnote w:id="1"/>
  </w:footnotePr>
  <w:endnotePr>
    <w:endnote w:id="0"/>
    <w:endnote w:id="1"/>
  </w:endnotePr>
  <w:compat/>
  <w:rsids>
    <w:rsidRoot w:val="006C4D66"/>
    <w:rsid w:val="000009DA"/>
    <w:rsid w:val="00000D82"/>
    <w:rsid w:val="00003E6A"/>
    <w:rsid w:val="00007614"/>
    <w:rsid w:val="00010206"/>
    <w:rsid w:val="000347DC"/>
    <w:rsid w:val="000404DC"/>
    <w:rsid w:val="000521CC"/>
    <w:rsid w:val="00052F4D"/>
    <w:rsid w:val="000537BD"/>
    <w:rsid w:val="00055FBC"/>
    <w:rsid w:val="00060D7C"/>
    <w:rsid w:val="000633E9"/>
    <w:rsid w:val="00064959"/>
    <w:rsid w:val="000744DA"/>
    <w:rsid w:val="00095B65"/>
    <w:rsid w:val="00097DD3"/>
    <w:rsid w:val="000A304F"/>
    <w:rsid w:val="000B15F7"/>
    <w:rsid w:val="000B3743"/>
    <w:rsid w:val="000B689C"/>
    <w:rsid w:val="000C5288"/>
    <w:rsid w:val="000C5FBB"/>
    <w:rsid w:val="000C6F94"/>
    <w:rsid w:val="000C7B97"/>
    <w:rsid w:val="000E2AAB"/>
    <w:rsid w:val="000E5965"/>
    <w:rsid w:val="000E6BB2"/>
    <w:rsid w:val="000F612C"/>
    <w:rsid w:val="00114865"/>
    <w:rsid w:val="00114D22"/>
    <w:rsid w:val="00115E85"/>
    <w:rsid w:val="00117874"/>
    <w:rsid w:val="0012119A"/>
    <w:rsid w:val="00121868"/>
    <w:rsid w:val="00123F7F"/>
    <w:rsid w:val="00127CA2"/>
    <w:rsid w:val="001324F3"/>
    <w:rsid w:val="00136B99"/>
    <w:rsid w:val="00145DF5"/>
    <w:rsid w:val="00153C94"/>
    <w:rsid w:val="00153CC7"/>
    <w:rsid w:val="00154492"/>
    <w:rsid w:val="00157051"/>
    <w:rsid w:val="001672DE"/>
    <w:rsid w:val="00186CC9"/>
    <w:rsid w:val="00186CD2"/>
    <w:rsid w:val="001912EC"/>
    <w:rsid w:val="00194DDA"/>
    <w:rsid w:val="00195374"/>
    <w:rsid w:val="001C3795"/>
    <w:rsid w:val="001C6B90"/>
    <w:rsid w:val="001D1379"/>
    <w:rsid w:val="001D25EF"/>
    <w:rsid w:val="001E29A9"/>
    <w:rsid w:val="001E511D"/>
    <w:rsid w:val="001E562A"/>
    <w:rsid w:val="001F4973"/>
    <w:rsid w:val="001F6FF5"/>
    <w:rsid w:val="002044C3"/>
    <w:rsid w:val="00205A31"/>
    <w:rsid w:val="002065BF"/>
    <w:rsid w:val="002078E6"/>
    <w:rsid w:val="00214D7A"/>
    <w:rsid w:val="002229A5"/>
    <w:rsid w:val="00240422"/>
    <w:rsid w:val="00240BD1"/>
    <w:rsid w:val="00251C48"/>
    <w:rsid w:val="002604E0"/>
    <w:rsid w:val="00262600"/>
    <w:rsid w:val="002653B6"/>
    <w:rsid w:val="002679EF"/>
    <w:rsid w:val="00272581"/>
    <w:rsid w:val="0027703D"/>
    <w:rsid w:val="0028005A"/>
    <w:rsid w:val="0028251B"/>
    <w:rsid w:val="002834C3"/>
    <w:rsid w:val="0028469E"/>
    <w:rsid w:val="0028643B"/>
    <w:rsid w:val="002868FD"/>
    <w:rsid w:val="00287DC8"/>
    <w:rsid w:val="002952C8"/>
    <w:rsid w:val="00296412"/>
    <w:rsid w:val="002A3C78"/>
    <w:rsid w:val="002A7498"/>
    <w:rsid w:val="002B2A2B"/>
    <w:rsid w:val="002B6F14"/>
    <w:rsid w:val="002C2A5B"/>
    <w:rsid w:val="002D1DF3"/>
    <w:rsid w:val="002F630A"/>
    <w:rsid w:val="002F6E44"/>
    <w:rsid w:val="002F78C9"/>
    <w:rsid w:val="00310A51"/>
    <w:rsid w:val="003118C9"/>
    <w:rsid w:val="00314082"/>
    <w:rsid w:val="003306AC"/>
    <w:rsid w:val="00340FE0"/>
    <w:rsid w:val="00356AD3"/>
    <w:rsid w:val="003571BD"/>
    <w:rsid w:val="003606D1"/>
    <w:rsid w:val="00361D2A"/>
    <w:rsid w:val="003648F4"/>
    <w:rsid w:val="00371981"/>
    <w:rsid w:val="0037288F"/>
    <w:rsid w:val="00372C27"/>
    <w:rsid w:val="003816EA"/>
    <w:rsid w:val="003827E7"/>
    <w:rsid w:val="00384DB1"/>
    <w:rsid w:val="00385BAC"/>
    <w:rsid w:val="00393190"/>
    <w:rsid w:val="00396EC1"/>
    <w:rsid w:val="003A3B51"/>
    <w:rsid w:val="003C0DD3"/>
    <w:rsid w:val="003C4269"/>
    <w:rsid w:val="003C5116"/>
    <w:rsid w:val="003D40D0"/>
    <w:rsid w:val="003E0AC2"/>
    <w:rsid w:val="003E11B0"/>
    <w:rsid w:val="003E3848"/>
    <w:rsid w:val="003F7334"/>
    <w:rsid w:val="00401A4F"/>
    <w:rsid w:val="00404B4E"/>
    <w:rsid w:val="0040720A"/>
    <w:rsid w:val="00417ECB"/>
    <w:rsid w:val="0042226E"/>
    <w:rsid w:val="0042553B"/>
    <w:rsid w:val="00426EF4"/>
    <w:rsid w:val="00431910"/>
    <w:rsid w:val="0043489C"/>
    <w:rsid w:val="004354DF"/>
    <w:rsid w:val="0044679D"/>
    <w:rsid w:val="004515D6"/>
    <w:rsid w:val="00452399"/>
    <w:rsid w:val="00453B04"/>
    <w:rsid w:val="00456E2B"/>
    <w:rsid w:val="00463F52"/>
    <w:rsid w:val="004657D3"/>
    <w:rsid w:val="00465CB6"/>
    <w:rsid w:val="004668EB"/>
    <w:rsid w:val="0047745E"/>
    <w:rsid w:val="00480340"/>
    <w:rsid w:val="004927BA"/>
    <w:rsid w:val="004A0E41"/>
    <w:rsid w:val="004A4F87"/>
    <w:rsid w:val="004A6893"/>
    <w:rsid w:val="004B2750"/>
    <w:rsid w:val="004C62C4"/>
    <w:rsid w:val="004D0894"/>
    <w:rsid w:val="004D0F04"/>
    <w:rsid w:val="004D53A0"/>
    <w:rsid w:val="004E0AAE"/>
    <w:rsid w:val="004E170A"/>
    <w:rsid w:val="004E75DE"/>
    <w:rsid w:val="004F46EB"/>
    <w:rsid w:val="004F6D0A"/>
    <w:rsid w:val="00503BF9"/>
    <w:rsid w:val="00517275"/>
    <w:rsid w:val="00517B4B"/>
    <w:rsid w:val="00521683"/>
    <w:rsid w:val="00526F7C"/>
    <w:rsid w:val="00534669"/>
    <w:rsid w:val="005432B5"/>
    <w:rsid w:val="00545689"/>
    <w:rsid w:val="00553ED2"/>
    <w:rsid w:val="00555334"/>
    <w:rsid w:val="005626E5"/>
    <w:rsid w:val="00563B8D"/>
    <w:rsid w:val="00564F4D"/>
    <w:rsid w:val="005666B0"/>
    <w:rsid w:val="005673B5"/>
    <w:rsid w:val="00567DA6"/>
    <w:rsid w:val="00576E75"/>
    <w:rsid w:val="00577899"/>
    <w:rsid w:val="0058173A"/>
    <w:rsid w:val="005840F6"/>
    <w:rsid w:val="005858D0"/>
    <w:rsid w:val="00587EAD"/>
    <w:rsid w:val="00592799"/>
    <w:rsid w:val="005A5232"/>
    <w:rsid w:val="005D17EC"/>
    <w:rsid w:val="005E5E6B"/>
    <w:rsid w:val="005F3A19"/>
    <w:rsid w:val="005F5F76"/>
    <w:rsid w:val="00613741"/>
    <w:rsid w:val="00614522"/>
    <w:rsid w:val="0061591C"/>
    <w:rsid w:val="00616651"/>
    <w:rsid w:val="00621A93"/>
    <w:rsid w:val="00622D10"/>
    <w:rsid w:val="00625E56"/>
    <w:rsid w:val="006261D2"/>
    <w:rsid w:val="006306DD"/>
    <w:rsid w:val="006363E8"/>
    <w:rsid w:val="0064048D"/>
    <w:rsid w:val="00640630"/>
    <w:rsid w:val="006414CD"/>
    <w:rsid w:val="00643355"/>
    <w:rsid w:val="00645628"/>
    <w:rsid w:val="006606CD"/>
    <w:rsid w:val="0066104B"/>
    <w:rsid w:val="00663DB3"/>
    <w:rsid w:val="00680039"/>
    <w:rsid w:val="00695290"/>
    <w:rsid w:val="0069596A"/>
    <w:rsid w:val="00697877"/>
    <w:rsid w:val="006A0555"/>
    <w:rsid w:val="006A27FF"/>
    <w:rsid w:val="006A44E9"/>
    <w:rsid w:val="006B076A"/>
    <w:rsid w:val="006C27AC"/>
    <w:rsid w:val="006C4D66"/>
    <w:rsid w:val="006C7425"/>
    <w:rsid w:val="006D0A5A"/>
    <w:rsid w:val="006D1A61"/>
    <w:rsid w:val="006D52F9"/>
    <w:rsid w:val="006E107E"/>
    <w:rsid w:val="006E13DD"/>
    <w:rsid w:val="006E22FB"/>
    <w:rsid w:val="006F7427"/>
    <w:rsid w:val="007018A5"/>
    <w:rsid w:val="00704EF9"/>
    <w:rsid w:val="0071055C"/>
    <w:rsid w:val="0071395F"/>
    <w:rsid w:val="007301CA"/>
    <w:rsid w:val="0073265B"/>
    <w:rsid w:val="00753B75"/>
    <w:rsid w:val="007554F0"/>
    <w:rsid w:val="00757559"/>
    <w:rsid w:val="007662BC"/>
    <w:rsid w:val="00766504"/>
    <w:rsid w:val="00772539"/>
    <w:rsid w:val="00774A4D"/>
    <w:rsid w:val="0078077A"/>
    <w:rsid w:val="0078307F"/>
    <w:rsid w:val="00786548"/>
    <w:rsid w:val="00790EE1"/>
    <w:rsid w:val="00793DFA"/>
    <w:rsid w:val="00796E4C"/>
    <w:rsid w:val="007C3A8E"/>
    <w:rsid w:val="007D1D19"/>
    <w:rsid w:val="007D4E4A"/>
    <w:rsid w:val="007D6DB9"/>
    <w:rsid w:val="007F0515"/>
    <w:rsid w:val="007F1007"/>
    <w:rsid w:val="007F2578"/>
    <w:rsid w:val="00803889"/>
    <w:rsid w:val="00805BF5"/>
    <w:rsid w:val="0081690D"/>
    <w:rsid w:val="00817232"/>
    <w:rsid w:val="008329C0"/>
    <w:rsid w:val="00833D7D"/>
    <w:rsid w:val="00834301"/>
    <w:rsid w:val="00834E9A"/>
    <w:rsid w:val="00835DD3"/>
    <w:rsid w:val="00841C8C"/>
    <w:rsid w:val="00842694"/>
    <w:rsid w:val="00842D91"/>
    <w:rsid w:val="00842E59"/>
    <w:rsid w:val="008476C5"/>
    <w:rsid w:val="008522D9"/>
    <w:rsid w:val="00860C08"/>
    <w:rsid w:val="00861AF5"/>
    <w:rsid w:val="00871EBC"/>
    <w:rsid w:val="00883F4C"/>
    <w:rsid w:val="00893B86"/>
    <w:rsid w:val="008A07CA"/>
    <w:rsid w:val="008A0C18"/>
    <w:rsid w:val="008A73EA"/>
    <w:rsid w:val="008B06A9"/>
    <w:rsid w:val="008B0CA8"/>
    <w:rsid w:val="008B60E6"/>
    <w:rsid w:val="008B71FF"/>
    <w:rsid w:val="008B7E65"/>
    <w:rsid w:val="008C5227"/>
    <w:rsid w:val="008C6767"/>
    <w:rsid w:val="008C7B21"/>
    <w:rsid w:val="008D25FD"/>
    <w:rsid w:val="008D4201"/>
    <w:rsid w:val="008E497F"/>
    <w:rsid w:val="008E6668"/>
    <w:rsid w:val="008F28DF"/>
    <w:rsid w:val="008F2A33"/>
    <w:rsid w:val="008F2FE5"/>
    <w:rsid w:val="008F425C"/>
    <w:rsid w:val="008F4937"/>
    <w:rsid w:val="009002CF"/>
    <w:rsid w:val="009010D8"/>
    <w:rsid w:val="0090150C"/>
    <w:rsid w:val="0090482E"/>
    <w:rsid w:val="00915A8D"/>
    <w:rsid w:val="00927806"/>
    <w:rsid w:val="00927AD7"/>
    <w:rsid w:val="00931524"/>
    <w:rsid w:val="00932E0A"/>
    <w:rsid w:val="00932E24"/>
    <w:rsid w:val="0093388D"/>
    <w:rsid w:val="00961E3C"/>
    <w:rsid w:val="00962E88"/>
    <w:rsid w:val="0097740C"/>
    <w:rsid w:val="00981672"/>
    <w:rsid w:val="009828CC"/>
    <w:rsid w:val="0098652C"/>
    <w:rsid w:val="00991C0A"/>
    <w:rsid w:val="00993F91"/>
    <w:rsid w:val="00997A59"/>
    <w:rsid w:val="009A0E11"/>
    <w:rsid w:val="009A17AD"/>
    <w:rsid w:val="009A50E8"/>
    <w:rsid w:val="009A5808"/>
    <w:rsid w:val="009C7101"/>
    <w:rsid w:val="009C7F8E"/>
    <w:rsid w:val="009D31E7"/>
    <w:rsid w:val="009D56C1"/>
    <w:rsid w:val="009E2CE4"/>
    <w:rsid w:val="009E3827"/>
    <w:rsid w:val="009E5B21"/>
    <w:rsid w:val="009F42AA"/>
    <w:rsid w:val="009F4646"/>
    <w:rsid w:val="00A04A02"/>
    <w:rsid w:val="00A05BA5"/>
    <w:rsid w:val="00A07316"/>
    <w:rsid w:val="00A12CB0"/>
    <w:rsid w:val="00A1439F"/>
    <w:rsid w:val="00A2073A"/>
    <w:rsid w:val="00A468BF"/>
    <w:rsid w:val="00A5411C"/>
    <w:rsid w:val="00A55EBF"/>
    <w:rsid w:val="00A65639"/>
    <w:rsid w:val="00A6691C"/>
    <w:rsid w:val="00A70E4D"/>
    <w:rsid w:val="00A83D66"/>
    <w:rsid w:val="00A84B26"/>
    <w:rsid w:val="00A864B9"/>
    <w:rsid w:val="00A94393"/>
    <w:rsid w:val="00AA47FF"/>
    <w:rsid w:val="00AA489D"/>
    <w:rsid w:val="00AA75EB"/>
    <w:rsid w:val="00AB3DBE"/>
    <w:rsid w:val="00AB6423"/>
    <w:rsid w:val="00AB65EA"/>
    <w:rsid w:val="00AB7CA6"/>
    <w:rsid w:val="00AC0BD0"/>
    <w:rsid w:val="00AC4E24"/>
    <w:rsid w:val="00AC5097"/>
    <w:rsid w:val="00AD437C"/>
    <w:rsid w:val="00AE4835"/>
    <w:rsid w:val="00AE6919"/>
    <w:rsid w:val="00AF56B2"/>
    <w:rsid w:val="00B051AD"/>
    <w:rsid w:val="00B119D9"/>
    <w:rsid w:val="00B1772A"/>
    <w:rsid w:val="00B21011"/>
    <w:rsid w:val="00B22DC4"/>
    <w:rsid w:val="00B2547A"/>
    <w:rsid w:val="00B25DE1"/>
    <w:rsid w:val="00B320ED"/>
    <w:rsid w:val="00B34D73"/>
    <w:rsid w:val="00B3620A"/>
    <w:rsid w:val="00B4266B"/>
    <w:rsid w:val="00B45655"/>
    <w:rsid w:val="00B47C48"/>
    <w:rsid w:val="00B579E3"/>
    <w:rsid w:val="00B6247F"/>
    <w:rsid w:val="00B67488"/>
    <w:rsid w:val="00B676E0"/>
    <w:rsid w:val="00B70C78"/>
    <w:rsid w:val="00B7448C"/>
    <w:rsid w:val="00B830CB"/>
    <w:rsid w:val="00B85076"/>
    <w:rsid w:val="00B86B57"/>
    <w:rsid w:val="00B95BDC"/>
    <w:rsid w:val="00B97F6D"/>
    <w:rsid w:val="00BA5DA2"/>
    <w:rsid w:val="00BB601F"/>
    <w:rsid w:val="00BC0BBC"/>
    <w:rsid w:val="00BD1816"/>
    <w:rsid w:val="00BD3DDE"/>
    <w:rsid w:val="00BD7939"/>
    <w:rsid w:val="00BE70D4"/>
    <w:rsid w:val="00BF6541"/>
    <w:rsid w:val="00C036F2"/>
    <w:rsid w:val="00C10927"/>
    <w:rsid w:val="00C126AF"/>
    <w:rsid w:val="00C16A46"/>
    <w:rsid w:val="00C16E50"/>
    <w:rsid w:val="00C2381F"/>
    <w:rsid w:val="00C3224D"/>
    <w:rsid w:val="00C336C7"/>
    <w:rsid w:val="00C42CCD"/>
    <w:rsid w:val="00C439EC"/>
    <w:rsid w:val="00C45C16"/>
    <w:rsid w:val="00C464E9"/>
    <w:rsid w:val="00C50114"/>
    <w:rsid w:val="00C54704"/>
    <w:rsid w:val="00C54803"/>
    <w:rsid w:val="00C552B7"/>
    <w:rsid w:val="00C57273"/>
    <w:rsid w:val="00C57EF3"/>
    <w:rsid w:val="00C602FB"/>
    <w:rsid w:val="00C60AED"/>
    <w:rsid w:val="00C62FF9"/>
    <w:rsid w:val="00C70368"/>
    <w:rsid w:val="00C75201"/>
    <w:rsid w:val="00C81A65"/>
    <w:rsid w:val="00C86443"/>
    <w:rsid w:val="00C87277"/>
    <w:rsid w:val="00C966A8"/>
    <w:rsid w:val="00CA1B37"/>
    <w:rsid w:val="00CA3386"/>
    <w:rsid w:val="00CA7C0E"/>
    <w:rsid w:val="00CB2021"/>
    <w:rsid w:val="00CB7060"/>
    <w:rsid w:val="00CB7163"/>
    <w:rsid w:val="00CB7930"/>
    <w:rsid w:val="00CC6906"/>
    <w:rsid w:val="00CD0944"/>
    <w:rsid w:val="00CD52E8"/>
    <w:rsid w:val="00CD5DF3"/>
    <w:rsid w:val="00CD6575"/>
    <w:rsid w:val="00CD75C5"/>
    <w:rsid w:val="00CE341B"/>
    <w:rsid w:val="00CE47E8"/>
    <w:rsid w:val="00CE76BB"/>
    <w:rsid w:val="00CF16AA"/>
    <w:rsid w:val="00CF2416"/>
    <w:rsid w:val="00CF584E"/>
    <w:rsid w:val="00CF5C97"/>
    <w:rsid w:val="00CF6E64"/>
    <w:rsid w:val="00D01193"/>
    <w:rsid w:val="00D036D2"/>
    <w:rsid w:val="00D1725F"/>
    <w:rsid w:val="00D224BF"/>
    <w:rsid w:val="00D24938"/>
    <w:rsid w:val="00D26704"/>
    <w:rsid w:val="00D31C5E"/>
    <w:rsid w:val="00D329EE"/>
    <w:rsid w:val="00D35465"/>
    <w:rsid w:val="00D4106B"/>
    <w:rsid w:val="00D41AF8"/>
    <w:rsid w:val="00D4548F"/>
    <w:rsid w:val="00D45987"/>
    <w:rsid w:val="00D47C05"/>
    <w:rsid w:val="00D51E58"/>
    <w:rsid w:val="00D54234"/>
    <w:rsid w:val="00D57E5C"/>
    <w:rsid w:val="00D66974"/>
    <w:rsid w:val="00D670EF"/>
    <w:rsid w:val="00D71ED5"/>
    <w:rsid w:val="00D74010"/>
    <w:rsid w:val="00D754DC"/>
    <w:rsid w:val="00D75560"/>
    <w:rsid w:val="00D93875"/>
    <w:rsid w:val="00D94501"/>
    <w:rsid w:val="00D9556A"/>
    <w:rsid w:val="00D967E0"/>
    <w:rsid w:val="00DA39F2"/>
    <w:rsid w:val="00DB11A7"/>
    <w:rsid w:val="00DB6BDB"/>
    <w:rsid w:val="00DC14B5"/>
    <w:rsid w:val="00DC6D5B"/>
    <w:rsid w:val="00DE5DEC"/>
    <w:rsid w:val="00DE7814"/>
    <w:rsid w:val="00DF1B9C"/>
    <w:rsid w:val="00DF3F6D"/>
    <w:rsid w:val="00DF7478"/>
    <w:rsid w:val="00DF7BDC"/>
    <w:rsid w:val="00E01771"/>
    <w:rsid w:val="00E11DC8"/>
    <w:rsid w:val="00E20CF0"/>
    <w:rsid w:val="00E31A17"/>
    <w:rsid w:val="00E33E19"/>
    <w:rsid w:val="00E400ED"/>
    <w:rsid w:val="00E40D90"/>
    <w:rsid w:val="00E4310F"/>
    <w:rsid w:val="00E60927"/>
    <w:rsid w:val="00E73DF9"/>
    <w:rsid w:val="00E75375"/>
    <w:rsid w:val="00E767D2"/>
    <w:rsid w:val="00E814E2"/>
    <w:rsid w:val="00E87DF5"/>
    <w:rsid w:val="00E93C8B"/>
    <w:rsid w:val="00E97CF1"/>
    <w:rsid w:val="00EA0A56"/>
    <w:rsid w:val="00EA17DA"/>
    <w:rsid w:val="00EA198D"/>
    <w:rsid w:val="00EA6E2F"/>
    <w:rsid w:val="00EB3260"/>
    <w:rsid w:val="00EB3792"/>
    <w:rsid w:val="00EB7ED4"/>
    <w:rsid w:val="00EC0E0C"/>
    <w:rsid w:val="00ED2D35"/>
    <w:rsid w:val="00ED459C"/>
    <w:rsid w:val="00ED57F6"/>
    <w:rsid w:val="00EF0CE4"/>
    <w:rsid w:val="00EF0D8D"/>
    <w:rsid w:val="00F00652"/>
    <w:rsid w:val="00F048DD"/>
    <w:rsid w:val="00F067AB"/>
    <w:rsid w:val="00F1392F"/>
    <w:rsid w:val="00F3149B"/>
    <w:rsid w:val="00F44602"/>
    <w:rsid w:val="00F572ED"/>
    <w:rsid w:val="00F5787B"/>
    <w:rsid w:val="00F73146"/>
    <w:rsid w:val="00F83951"/>
    <w:rsid w:val="00F87F7D"/>
    <w:rsid w:val="00F95766"/>
    <w:rsid w:val="00FA0F62"/>
    <w:rsid w:val="00FB0AAB"/>
    <w:rsid w:val="00FC02A2"/>
    <w:rsid w:val="00FC063F"/>
    <w:rsid w:val="00FC0641"/>
    <w:rsid w:val="00FD1654"/>
    <w:rsid w:val="00FE05D5"/>
    <w:rsid w:val="00FE0DB6"/>
    <w:rsid w:val="00FE3236"/>
    <w:rsid w:val="00FE682B"/>
    <w:rsid w:val="00FE7A41"/>
    <w:rsid w:val="00FF04FF"/>
    <w:rsid w:val="00FF34BB"/>
    <w:rsid w:val="00FF5091"/>
    <w:rsid w:val="00FF5CCF"/>
    <w:rsid w:val="00FF5E7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7106" fillcolor="white" stroke="f">
      <v:fill color="white"/>
      <v:stroke on="f"/>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1D19"/>
    <w:rPr>
      <w:rFonts w:ascii="Helv" w:hAnsi="Helv"/>
    </w:rPr>
  </w:style>
  <w:style w:type="paragraph" w:styleId="Ttulo1">
    <w:name w:val="heading 1"/>
    <w:basedOn w:val="Normal"/>
    <w:next w:val="Normal"/>
    <w:link w:val="Ttulo1Char"/>
    <w:qFormat/>
    <w:rsid w:val="007D1D19"/>
    <w:pPr>
      <w:keepNext/>
      <w:widowControl w:val="0"/>
      <w:jc w:val="center"/>
      <w:outlineLvl w:val="0"/>
    </w:pPr>
    <w:rPr>
      <w:rFonts w:ascii="Arial" w:hAnsi="Arial"/>
      <w:b/>
    </w:rPr>
  </w:style>
  <w:style w:type="paragraph" w:styleId="Ttulo2">
    <w:name w:val="heading 2"/>
    <w:basedOn w:val="Normal"/>
    <w:next w:val="Normal"/>
    <w:link w:val="Ttulo2Char"/>
    <w:uiPriority w:val="9"/>
    <w:qFormat/>
    <w:rsid w:val="007D1D19"/>
    <w:pPr>
      <w:keepNext/>
      <w:widowControl w:val="0"/>
      <w:jc w:val="center"/>
      <w:outlineLvl w:val="1"/>
    </w:pPr>
    <w:rPr>
      <w:rFonts w:ascii="Arial" w:hAnsi="Arial"/>
      <w:b/>
      <w:sz w:val="22"/>
      <w:u w:val="single"/>
    </w:rPr>
  </w:style>
  <w:style w:type="paragraph" w:styleId="Ttulo3">
    <w:name w:val="heading 3"/>
    <w:basedOn w:val="Normal"/>
    <w:next w:val="Normal"/>
    <w:link w:val="Ttulo3Char"/>
    <w:uiPriority w:val="9"/>
    <w:qFormat/>
    <w:rsid w:val="00EA0A56"/>
    <w:pPr>
      <w:keepNext/>
      <w:jc w:val="center"/>
      <w:outlineLvl w:val="2"/>
    </w:pPr>
    <w:rPr>
      <w:rFonts w:ascii="Times New Roman" w:hAnsi="Times New Roman"/>
      <w:b/>
      <w:bCs/>
      <w:sz w:val="26"/>
      <w:szCs w:val="24"/>
    </w:rPr>
  </w:style>
  <w:style w:type="paragraph" w:styleId="Ttulo4">
    <w:name w:val="heading 4"/>
    <w:basedOn w:val="Normal"/>
    <w:next w:val="Normal"/>
    <w:link w:val="Ttulo4Char"/>
    <w:qFormat/>
    <w:rsid w:val="007D1D19"/>
    <w:pPr>
      <w:keepNext/>
      <w:widowControl w:val="0"/>
      <w:jc w:val="center"/>
      <w:outlineLvl w:val="3"/>
    </w:pPr>
    <w:rPr>
      <w:rFonts w:ascii="Arial" w:hAnsi="Arial"/>
      <w:b/>
      <w:sz w:val="22"/>
    </w:rPr>
  </w:style>
  <w:style w:type="paragraph" w:styleId="Ttulo5">
    <w:name w:val="heading 5"/>
    <w:basedOn w:val="Normal"/>
    <w:next w:val="Normal"/>
    <w:link w:val="Ttulo5Char"/>
    <w:qFormat/>
    <w:rsid w:val="007D1D19"/>
    <w:pPr>
      <w:spacing w:before="240" w:after="60"/>
      <w:outlineLvl w:val="4"/>
    </w:pPr>
    <w:rPr>
      <w:b/>
      <w:bCs/>
      <w:i/>
      <w:iCs/>
      <w:sz w:val="26"/>
      <w:szCs w:val="26"/>
    </w:rPr>
  </w:style>
  <w:style w:type="paragraph" w:styleId="Ttulo6">
    <w:name w:val="heading 6"/>
    <w:basedOn w:val="Normal"/>
    <w:next w:val="Normal"/>
    <w:link w:val="Ttulo6Char"/>
    <w:qFormat/>
    <w:rsid w:val="00314082"/>
    <w:pPr>
      <w:spacing w:before="240" w:after="60"/>
      <w:outlineLvl w:val="5"/>
    </w:pPr>
    <w:rPr>
      <w:rFonts w:ascii="Times New Roman" w:hAnsi="Times New Roman"/>
      <w:b/>
      <w:bCs/>
      <w:sz w:val="22"/>
      <w:szCs w:val="22"/>
    </w:rPr>
  </w:style>
  <w:style w:type="paragraph" w:styleId="Ttulo7">
    <w:name w:val="heading 7"/>
    <w:basedOn w:val="Normal"/>
    <w:next w:val="Normal"/>
    <w:link w:val="Ttulo7Char"/>
    <w:qFormat/>
    <w:rsid w:val="007D1D19"/>
    <w:pPr>
      <w:keepNext/>
      <w:jc w:val="both"/>
      <w:outlineLvl w:val="6"/>
    </w:pPr>
    <w:rPr>
      <w:rFonts w:ascii="Arial" w:hAnsi="Arial" w:cs="Arial"/>
      <w:sz w:val="28"/>
    </w:rPr>
  </w:style>
  <w:style w:type="paragraph" w:styleId="Ttulo8">
    <w:name w:val="heading 8"/>
    <w:basedOn w:val="Normal"/>
    <w:next w:val="Normal"/>
    <w:link w:val="Ttulo8Char"/>
    <w:qFormat/>
    <w:rsid w:val="00EA0A56"/>
    <w:pPr>
      <w:keepNext/>
      <w:jc w:val="both"/>
      <w:outlineLvl w:val="7"/>
    </w:pPr>
    <w:rPr>
      <w:rFonts w:ascii="Arial Narrow" w:hAnsi="Arial Narrow"/>
      <w:b/>
      <w:bCs/>
      <w:color w:val="FF0000"/>
      <w:sz w:val="24"/>
      <w:szCs w:val="24"/>
    </w:rPr>
  </w:style>
  <w:style w:type="paragraph" w:styleId="Ttulo9">
    <w:name w:val="heading 9"/>
    <w:basedOn w:val="Normal"/>
    <w:next w:val="Normal"/>
    <w:link w:val="Ttulo9Char"/>
    <w:qFormat/>
    <w:rsid w:val="00393190"/>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rsid w:val="007D1D19"/>
    <w:rPr>
      <w:color w:val="0000FF"/>
      <w:u w:val="single"/>
    </w:rPr>
  </w:style>
  <w:style w:type="paragraph" w:styleId="Rodap">
    <w:name w:val="footer"/>
    <w:basedOn w:val="Normal"/>
    <w:link w:val="RodapChar"/>
    <w:uiPriority w:val="99"/>
    <w:rsid w:val="007D1D19"/>
    <w:pPr>
      <w:tabs>
        <w:tab w:val="center" w:pos="4419"/>
        <w:tab w:val="right" w:pos="8838"/>
      </w:tabs>
      <w:jc w:val="both"/>
    </w:pPr>
    <w:rPr>
      <w:rFonts w:ascii="Arial" w:hAnsi="Arial"/>
      <w:sz w:val="28"/>
    </w:rPr>
  </w:style>
  <w:style w:type="paragraph" w:styleId="Corpodetexto3">
    <w:name w:val="Body Text 3"/>
    <w:basedOn w:val="Normal"/>
    <w:link w:val="Corpodetexto3Char"/>
    <w:rsid w:val="007D1D19"/>
    <w:pPr>
      <w:widowControl w:val="0"/>
      <w:jc w:val="both"/>
    </w:pPr>
    <w:rPr>
      <w:rFonts w:ascii="Arial" w:hAnsi="Arial" w:cs="Arial"/>
      <w:b/>
      <w:sz w:val="32"/>
      <w:u w:val="single"/>
    </w:rPr>
  </w:style>
  <w:style w:type="paragraph" w:styleId="Corpodetexto">
    <w:name w:val="Body Text"/>
    <w:basedOn w:val="Normal"/>
    <w:link w:val="CorpodetextoChar"/>
    <w:rsid w:val="007D1D19"/>
    <w:pPr>
      <w:widowControl w:val="0"/>
      <w:jc w:val="both"/>
    </w:pPr>
    <w:rPr>
      <w:rFonts w:ascii="Arial" w:hAnsi="Arial" w:cs="Arial"/>
      <w:b/>
      <w:bCs/>
      <w:sz w:val="28"/>
      <w:u w:val="single"/>
    </w:rPr>
  </w:style>
  <w:style w:type="character" w:styleId="Refdenotaderodap">
    <w:name w:val="footnote reference"/>
    <w:basedOn w:val="Fontepargpadro"/>
    <w:semiHidden/>
    <w:rsid w:val="007D1D19"/>
    <w:rPr>
      <w:vertAlign w:val="superscript"/>
    </w:rPr>
  </w:style>
  <w:style w:type="paragraph" w:customStyle="1" w:styleId="BodyText25">
    <w:name w:val="Body Text 25"/>
    <w:basedOn w:val="Normal"/>
    <w:rsid w:val="007D1D19"/>
    <w:pPr>
      <w:spacing w:line="300" w:lineRule="exact"/>
      <w:jc w:val="both"/>
    </w:pPr>
    <w:rPr>
      <w:rFonts w:ascii="Abadi MT Condensed Light" w:hAnsi="Abadi MT Condensed Light"/>
      <w:sz w:val="22"/>
    </w:rPr>
  </w:style>
  <w:style w:type="paragraph" w:customStyle="1" w:styleId="BodyText23">
    <w:name w:val="Body Text 23"/>
    <w:basedOn w:val="Normal"/>
    <w:rsid w:val="007D1D19"/>
    <w:pPr>
      <w:widowControl w:val="0"/>
      <w:spacing w:line="360" w:lineRule="atLeast"/>
      <w:ind w:left="567" w:hanging="567"/>
      <w:jc w:val="both"/>
    </w:pPr>
    <w:rPr>
      <w:rFonts w:ascii="Arial" w:hAnsi="Arial"/>
    </w:rPr>
  </w:style>
  <w:style w:type="paragraph" w:styleId="Recuodecorpodetexto2">
    <w:name w:val="Body Text Indent 2"/>
    <w:basedOn w:val="Normal"/>
    <w:link w:val="Recuodecorpodetexto2Char"/>
    <w:rsid w:val="007D1D19"/>
    <w:pPr>
      <w:widowControl w:val="0"/>
      <w:ind w:left="709"/>
      <w:jc w:val="both"/>
    </w:pPr>
    <w:rPr>
      <w:rFonts w:ascii="Arial" w:hAnsi="Arial"/>
    </w:rPr>
  </w:style>
  <w:style w:type="paragraph" w:styleId="Recuodecorpodetexto3">
    <w:name w:val="Body Text Indent 3"/>
    <w:basedOn w:val="Normal"/>
    <w:link w:val="Recuodecorpodetexto3Char"/>
    <w:rsid w:val="007D1D19"/>
    <w:pPr>
      <w:widowControl w:val="0"/>
      <w:ind w:firstLine="708"/>
      <w:jc w:val="both"/>
    </w:pPr>
    <w:rPr>
      <w:rFonts w:ascii="Albertus Medium" w:hAnsi="Albertus Medium"/>
      <w:i/>
      <w:iCs/>
      <w:sz w:val="28"/>
    </w:rPr>
  </w:style>
  <w:style w:type="paragraph" w:styleId="Cabealho">
    <w:name w:val="header"/>
    <w:basedOn w:val="Normal"/>
    <w:link w:val="CabealhoChar"/>
    <w:rsid w:val="007D1D19"/>
    <w:pPr>
      <w:tabs>
        <w:tab w:val="center" w:pos="4419"/>
        <w:tab w:val="right" w:pos="8838"/>
      </w:tabs>
    </w:pPr>
    <w:rPr>
      <w:rFonts w:ascii="Courier New" w:hAnsi="Courier New"/>
    </w:rPr>
  </w:style>
  <w:style w:type="paragraph" w:customStyle="1" w:styleId="Corpodetexto21">
    <w:name w:val="Corpo de texto 21"/>
    <w:basedOn w:val="Normal"/>
    <w:rsid w:val="007D1D19"/>
    <w:pPr>
      <w:widowControl w:val="0"/>
      <w:overflowPunct w:val="0"/>
      <w:autoSpaceDE w:val="0"/>
      <w:autoSpaceDN w:val="0"/>
      <w:adjustRightInd w:val="0"/>
      <w:spacing w:line="180" w:lineRule="atLeast"/>
      <w:ind w:right="720"/>
      <w:jc w:val="both"/>
      <w:textAlignment w:val="baseline"/>
    </w:pPr>
    <w:rPr>
      <w:rFonts w:ascii="Arial" w:hAnsi="Arial"/>
    </w:rPr>
  </w:style>
  <w:style w:type="paragraph" w:styleId="Textodenotaderodap">
    <w:name w:val="footnote text"/>
    <w:basedOn w:val="Normal"/>
    <w:link w:val="TextodenotaderodapChar"/>
    <w:semiHidden/>
    <w:rsid w:val="007D1D19"/>
    <w:pPr>
      <w:overflowPunct w:val="0"/>
      <w:autoSpaceDE w:val="0"/>
      <w:autoSpaceDN w:val="0"/>
      <w:adjustRightInd w:val="0"/>
      <w:jc w:val="both"/>
      <w:textAlignment w:val="baseline"/>
    </w:pPr>
    <w:rPr>
      <w:rFonts w:ascii="Arial" w:hAnsi="Arial"/>
    </w:rPr>
  </w:style>
  <w:style w:type="character" w:styleId="Nmerodepgina">
    <w:name w:val="page number"/>
    <w:basedOn w:val="Fontepargpadro"/>
    <w:rsid w:val="007D1D19"/>
  </w:style>
  <w:style w:type="paragraph" w:styleId="Ttulo">
    <w:name w:val="Title"/>
    <w:basedOn w:val="Normal"/>
    <w:link w:val="TtuloChar"/>
    <w:qFormat/>
    <w:rsid w:val="007D1D19"/>
    <w:pPr>
      <w:widowControl w:val="0"/>
      <w:ind w:right="254"/>
      <w:jc w:val="center"/>
    </w:pPr>
    <w:rPr>
      <w:rFonts w:ascii="Arial" w:hAnsi="Arial" w:cs="Arial"/>
      <w:b/>
      <w:sz w:val="36"/>
    </w:rPr>
  </w:style>
  <w:style w:type="paragraph" w:styleId="Textodebalo">
    <w:name w:val="Balloon Text"/>
    <w:basedOn w:val="Normal"/>
    <w:link w:val="TextodebaloChar"/>
    <w:uiPriority w:val="99"/>
    <w:semiHidden/>
    <w:rsid w:val="007D1D19"/>
    <w:rPr>
      <w:rFonts w:ascii="Tahoma" w:hAnsi="Tahoma" w:cs="Tahoma"/>
      <w:sz w:val="16"/>
      <w:szCs w:val="16"/>
    </w:rPr>
  </w:style>
  <w:style w:type="table" w:styleId="Tabelacomgrade">
    <w:name w:val="Table Grid"/>
    <w:basedOn w:val="Tabelanormal"/>
    <w:rsid w:val="00E609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qFormat/>
    <w:rsid w:val="007D1D19"/>
    <w:pPr>
      <w:spacing w:line="480" w:lineRule="atLeast"/>
      <w:ind w:left="-851" w:right="-1650"/>
    </w:pPr>
    <w:rPr>
      <w:b/>
      <w:sz w:val="18"/>
    </w:rPr>
  </w:style>
  <w:style w:type="paragraph" w:styleId="Textoembloco">
    <w:name w:val="Block Text"/>
    <w:basedOn w:val="Normal"/>
    <w:rsid w:val="007D1D19"/>
    <w:pPr>
      <w:ind w:left="-851" w:right="-1650"/>
    </w:pPr>
    <w:rPr>
      <w:b/>
      <w:sz w:val="18"/>
    </w:rPr>
  </w:style>
  <w:style w:type="paragraph" w:styleId="Recuodecorpodetexto">
    <w:name w:val="Body Text Indent"/>
    <w:basedOn w:val="Normal"/>
    <w:link w:val="RecuodecorpodetextoChar"/>
    <w:rsid w:val="007D1D19"/>
    <w:pPr>
      <w:spacing w:after="120"/>
      <w:ind w:left="283"/>
    </w:pPr>
  </w:style>
  <w:style w:type="paragraph" w:customStyle="1" w:styleId="Ttulo01">
    <w:name w:val="Título 01"/>
    <w:basedOn w:val="Ttulo"/>
    <w:rsid w:val="004A4F87"/>
    <w:pPr>
      <w:widowControl/>
      <w:ind w:right="0"/>
      <w:outlineLvl w:val="0"/>
    </w:pPr>
    <w:rPr>
      <w:bCs/>
      <w:caps/>
      <w:sz w:val="26"/>
    </w:rPr>
  </w:style>
  <w:style w:type="paragraph" w:styleId="Corpodetexto2">
    <w:name w:val="Body Text 2"/>
    <w:basedOn w:val="Normal"/>
    <w:link w:val="Corpodetexto2Char"/>
    <w:rsid w:val="00FE682B"/>
    <w:pPr>
      <w:spacing w:after="120" w:line="480" w:lineRule="auto"/>
    </w:pPr>
  </w:style>
  <w:style w:type="paragraph" w:customStyle="1" w:styleId="Ttulo02">
    <w:name w:val="Título 02"/>
    <w:basedOn w:val="Ttulo2"/>
    <w:rsid w:val="00E01771"/>
    <w:pPr>
      <w:widowControl/>
    </w:pPr>
    <w:rPr>
      <w:rFonts w:cs="Arial"/>
      <w:bCs/>
      <w:caps/>
      <w:snapToGrid w:val="0"/>
      <w:sz w:val="24"/>
      <w:szCs w:val="24"/>
      <w:u w:val="none"/>
    </w:rPr>
  </w:style>
  <w:style w:type="paragraph" w:styleId="Subttulo">
    <w:name w:val="Subtitle"/>
    <w:basedOn w:val="Normal"/>
    <w:link w:val="SubttuloChar"/>
    <w:qFormat/>
    <w:rsid w:val="00E01771"/>
    <w:pPr>
      <w:jc w:val="center"/>
    </w:pPr>
    <w:rPr>
      <w:rFonts w:ascii="Arial" w:hAnsi="Arial" w:cs="Arial"/>
      <w:b/>
      <w:bCs/>
      <w:sz w:val="28"/>
      <w:szCs w:val="24"/>
    </w:rPr>
  </w:style>
  <w:style w:type="character" w:customStyle="1" w:styleId="clconteudodados1">
    <w:name w:val="clconteudodados1"/>
    <w:basedOn w:val="Fontepargpadro"/>
    <w:rsid w:val="00BD3DDE"/>
    <w:rPr>
      <w:sz w:val="15"/>
      <w:szCs w:val="15"/>
    </w:rPr>
  </w:style>
  <w:style w:type="paragraph" w:customStyle="1" w:styleId="Corpo">
    <w:name w:val="Corpo"/>
    <w:rsid w:val="00EA0A56"/>
    <w:pPr>
      <w:widowControl w:val="0"/>
      <w:autoSpaceDE w:val="0"/>
      <w:autoSpaceDN w:val="0"/>
    </w:pPr>
    <w:rPr>
      <w:rFonts w:ascii="CG Times (W1)" w:hAnsi="CG Times (W1)"/>
      <w:color w:val="000000"/>
      <w:sz w:val="24"/>
      <w:szCs w:val="24"/>
    </w:rPr>
  </w:style>
  <w:style w:type="paragraph" w:customStyle="1" w:styleId="NONormal">
    <w:name w:val="NO Normal"/>
    <w:rsid w:val="00EA0A56"/>
    <w:pPr>
      <w:widowControl w:val="0"/>
      <w:tabs>
        <w:tab w:val="center" w:pos="5400"/>
        <w:tab w:val="right" w:pos="11188"/>
      </w:tabs>
      <w:autoSpaceDE w:val="0"/>
      <w:autoSpaceDN w:val="0"/>
      <w:ind w:left="865" w:right="373" w:hanging="594"/>
      <w:jc w:val="both"/>
    </w:pPr>
    <w:rPr>
      <w:rFonts w:ascii="Courier New" w:hAnsi="Courier New" w:cs="Courier New"/>
      <w:color w:val="000000"/>
      <w:sz w:val="24"/>
      <w:szCs w:val="24"/>
    </w:rPr>
  </w:style>
  <w:style w:type="paragraph" w:styleId="NormalWeb">
    <w:name w:val="Normal (Web)"/>
    <w:basedOn w:val="Normal"/>
    <w:uiPriority w:val="99"/>
    <w:rsid w:val="00EA0A56"/>
    <w:pPr>
      <w:spacing w:before="100" w:beforeAutospacing="1" w:after="100" w:afterAutospacing="1"/>
    </w:pPr>
    <w:rPr>
      <w:rFonts w:ascii="Times New Roman" w:hAnsi="Times New Roman"/>
      <w:color w:val="000000"/>
      <w:sz w:val="24"/>
      <w:szCs w:val="24"/>
    </w:rPr>
  </w:style>
  <w:style w:type="paragraph" w:styleId="TextosemFormatao">
    <w:name w:val="Plain Text"/>
    <w:aliases w:val="Texto simples"/>
    <w:basedOn w:val="Normal"/>
    <w:link w:val="TextosemFormataoChar"/>
    <w:rsid w:val="00EA0A56"/>
    <w:rPr>
      <w:rFonts w:ascii="Courier New" w:hAnsi="Courier New"/>
      <w:szCs w:val="24"/>
    </w:rPr>
  </w:style>
  <w:style w:type="paragraph" w:customStyle="1" w:styleId="xl24">
    <w:name w:val="xl24"/>
    <w:basedOn w:val="Normal"/>
    <w:rsid w:val="00EA0A5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eastAsia="Arial Unicode MS" w:hAnsi="Arial Unicode MS" w:cs="Arial Unicode MS"/>
      <w:sz w:val="24"/>
      <w:szCs w:val="24"/>
      <w:lang w:eastAsia="en-US"/>
    </w:rPr>
  </w:style>
  <w:style w:type="paragraph" w:customStyle="1" w:styleId="xl25">
    <w:name w:val="xl25"/>
    <w:basedOn w:val="Normal"/>
    <w:rsid w:val="00EA0A5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rsid w:val="00EA0A56"/>
    <w:pPr>
      <w:jc w:val="both"/>
    </w:pPr>
    <w:rPr>
      <w:rFonts w:ascii="Times New Roman" w:hAnsi="Times New Roman"/>
      <w:sz w:val="24"/>
    </w:rPr>
  </w:style>
  <w:style w:type="character" w:customStyle="1" w:styleId="WW8Num16z0">
    <w:name w:val="WW8Num16z0"/>
    <w:rsid w:val="00EA0A56"/>
    <w:rPr>
      <w:rFonts w:ascii="Wingdings" w:hAnsi="Wingdings"/>
    </w:rPr>
  </w:style>
  <w:style w:type="paragraph" w:customStyle="1" w:styleId="Default">
    <w:name w:val="Default"/>
    <w:rsid w:val="00EA0A56"/>
    <w:pPr>
      <w:autoSpaceDE w:val="0"/>
      <w:autoSpaceDN w:val="0"/>
      <w:adjustRightInd w:val="0"/>
      <w:ind w:firstLine="360"/>
    </w:pPr>
    <w:rPr>
      <w:rFonts w:ascii="Arial" w:hAnsi="Arial" w:cs="Arial"/>
      <w:color w:val="000000"/>
      <w:sz w:val="24"/>
      <w:szCs w:val="24"/>
      <w:lang w:val="en-US" w:eastAsia="en-US" w:bidi="en-US"/>
    </w:rPr>
  </w:style>
  <w:style w:type="character" w:customStyle="1" w:styleId="Recuodecorpodetexto3Char">
    <w:name w:val="Recuo de corpo de texto 3 Char"/>
    <w:basedOn w:val="Fontepargpadro"/>
    <w:link w:val="Recuodecorpodetexto3"/>
    <w:rsid w:val="00EA0A56"/>
    <w:rPr>
      <w:rFonts w:ascii="Albertus Medium" w:hAnsi="Albertus Medium"/>
      <w:i/>
      <w:iCs/>
      <w:sz w:val="28"/>
      <w:lang w:val="en-US" w:eastAsia="pt-BR" w:bidi="ar-SA"/>
    </w:rPr>
  </w:style>
  <w:style w:type="paragraph" w:customStyle="1" w:styleId="Patricia">
    <w:name w:val="Patricia"/>
    <w:basedOn w:val="Normal"/>
    <w:rsid w:val="00EA0A56"/>
    <w:rPr>
      <w:rFonts w:ascii="Arial" w:hAnsi="Arial"/>
      <w:sz w:val="24"/>
    </w:rPr>
  </w:style>
  <w:style w:type="paragraph" w:styleId="PargrafodaLista">
    <w:name w:val="List Paragraph"/>
    <w:basedOn w:val="Normal"/>
    <w:uiPriority w:val="34"/>
    <w:qFormat/>
    <w:rsid w:val="00EA0A56"/>
    <w:pPr>
      <w:spacing w:after="200" w:line="276" w:lineRule="auto"/>
      <w:ind w:left="720"/>
      <w:contextualSpacing/>
    </w:pPr>
    <w:rPr>
      <w:rFonts w:ascii="Calibri" w:eastAsia="Calibri" w:hAnsi="Calibri"/>
      <w:sz w:val="22"/>
      <w:szCs w:val="22"/>
      <w:lang w:eastAsia="en-US"/>
    </w:rPr>
  </w:style>
  <w:style w:type="character" w:customStyle="1" w:styleId="Corpodetexto3Char">
    <w:name w:val="Corpo de texto 3 Char"/>
    <w:basedOn w:val="Fontepargpadro"/>
    <w:link w:val="Corpodetexto3"/>
    <w:rsid w:val="00F44602"/>
    <w:rPr>
      <w:rFonts w:ascii="Arial" w:hAnsi="Arial" w:cs="Arial"/>
      <w:b/>
      <w:sz w:val="32"/>
      <w:u w:val="single"/>
      <w:lang w:val="en-US"/>
    </w:rPr>
  </w:style>
  <w:style w:type="character" w:customStyle="1" w:styleId="TtuloChar">
    <w:name w:val="Título Char"/>
    <w:basedOn w:val="Fontepargpadro"/>
    <w:link w:val="Ttulo"/>
    <w:rsid w:val="00F44602"/>
    <w:rPr>
      <w:rFonts w:ascii="Arial" w:hAnsi="Arial" w:cs="Arial"/>
      <w:b/>
      <w:sz w:val="36"/>
      <w:lang w:val="en-US"/>
    </w:rPr>
  </w:style>
  <w:style w:type="character" w:customStyle="1" w:styleId="Ttulo7Char">
    <w:name w:val="Título 7 Char"/>
    <w:basedOn w:val="Fontepargpadro"/>
    <w:link w:val="Ttulo7"/>
    <w:rsid w:val="00F44602"/>
    <w:rPr>
      <w:rFonts w:ascii="Arial" w:hAnsi="Arial" w:cs="Arial"/>
      <w:sz w:val="28"/>
      <w:lang w:val="en-US"/>
    </w:rPr>
  </w:style>
  <w:style w:type="character" w:customStyle="1" w:styleId="RodapChar">
    <w:name w:val="Rodapé Char"/>
    <w:basedOn w:val="Fontepargpadro"/>
    <w:link w:val="Rodap"/>
    <w:uiPriority w:val="99"/>
    <w:rsid w:val="00F44602"/>
    <w:rPr>
      <w:rFonts w:ascii="Arial" w:hAnsi="Arial"/>
      <w:sz w:val="28"/>
      <w:lang w:val="en-US"/>
    </w:rPr>
  </w:style>
  <w:style w:type="character" w:customStyle="1" w:styleId="TextosemFormataoChar">
    <w:name w:val="Texto sem Formatação Char"/>
    <w:aliases w:val="Texto simples Char"/>
    <w:basedOn w:val="Fontepargpadro"/>
    <w:link w:val="TextosemFormatao"/>
    <w:rsid w:val="003571BD"/>
    <w:rPr>
      <w:rFonts w:ascii="Courier New" w:hAnsi="Courier New"/>
      <w:szCs w:val="24"/>
    </w:rPr>
  </w:style>
  <w:style w:type="character" w:customStyle="1" w:styleId="Ttulo2Char">
    <w:name w:val="Título 2 Char"/>
    <w:basedOn w:val="Fontepargpadro"/>
    <w:link w:val="Ttulo2"/>
    <w:uiPriority w:val="9"/>
    <w:rsid w:val="00793DFA"/>
    <w:rPr>
      <w:rFonts w:ascii="Arial" w:hAnsi="Arial"/>
      <w:b/>
      <w:sz w:val="22"/>
      <w:u w:val="single"/>
      <w:lang w:val="en-US"/>
    </w:rPr>
  </w:style>
  <w:style w:type="character" w:customStyle="1" w:styleId="CorpodetextoChar">
    <w:name w:val="Corpo de texto Char"/>
    <w:basedOn w:val="Fontepargpadro"/>
    <w:link w:val="Corpodetexto"/>
    <w:rsid w:val="00793DFA"/>
    <w:rPr>
      <w:rFonts w:ascii="Arial" w:hAnsi="Arial" w:cs="Arial"/>
      <w:b/>
      <w:bCs/>
      <w:sz w:val="28"/>
      <w:u w:val="single"/>
      <w:lang w:val="en-US"/>
    </w:rPr>
  </w:style>
  <w:style w:type="character" w:customStyle="1" w:styleId="Recuodecorpodetexto2Char">
    <w:name w:val="Recuo de corpo de texto 2 Char"/>
    <w:basedOn w:val="Fontepargpadro"/>
    <w:link w:val="Recuodecorpodetexto2"/>
    <w:rsid w:val="00793DFA"/>
    <w:rPr>
      <w:rFonts w:ascii="Arial" w:hAnsi="Arial"/>
      <w:lang w:val="en-US"/>
    </w:rPr>
  </w:style>
  <w:style w:type="character" w:customStyle="1" w:styleId="Corpodetexto2Char">
    <w:name w:val="Corpo de texto 2 Char"/>
    <w:basedOn w:val="Fontepargpadro"/>
    <w:link w:val="Corpodetexto2"/>
    <w:rsid w:val="009A17AD"/>
    <w:rPr>
      <w:rFonts w:ascii="Helv" w:hAnsi="Helv"/>
      <w:lang w:val="en-US"/>
    </w:rPr>
  </w:style>
  <w:style w:type="paragraph" w:customStyle="1" w:styleId="Artigo">
    <w:name w:val="Artigo"/>
    <w:basedOn w:val="Normal"/>
    <w:link w:val="ArtigoChar"/>
    <w:uiPriority w:val="99"/>
    <w:rsid w:val="00465CB6"/>
    <w:pPr>
      <w:autoSpaceDE w:val="0"/>
      <w:autoSpaceDN w:val="0"/>
      <w:adjustRightInd w:val="0"/>
      <w:spacing w:before="85" w:after="85"/>
      <w:jc w:val="both"/>
    </w:pPr>
    <w:rPr>
      <w:rFonts w:ascii="Arial" w:hAnsi="Arial"/>
      <w:b/>
      <w:bCs/>
      <w:u w:val="single"/>
    </w:rPr>
  </w:style>
  <w:style w:type="character" w:customStyle="1" w:styleId="ArtigoChar">
    <w:name w:val="Artigo Char"/>
    <w:link w:val="Artigo"/>
    <w:uiPriority w:val="99"/>
    <w:rsid w:val="00465CB6"/>
    <w:rPr>
      <w:rFonts w:ascii="Arial" w:hAnsi="Arial"/>
      <w:b/>
      <w:bCs/>
      <w:u w:val="single"/>
    </w:rPr>
  </w:style>
  <w:style w:type="character" w:styleId="Forte">
    <w:name w:val="Strong"/>
    <w:uiPriority w:val="22"/>
    <w:qFormat/>
    <w:rsid w:val="00465CB6"/>
    <w:rPr>
      <w:b/>
      <w:bCs/>
    </w:rPr>
  </w:style>
  <w:style w:type="paragraph" w:customStyle="1" w:styleId="Assunto">
    <w:name w:val="Assunto"/>
    <w:basedOn w:val="Normal"/>
    <w:uiPriority w:val="99"/>
    <w:rsid w:val="00465CB6"/>
    <w:pPr>
      <w:autoSpaceDE w:val="0"/>
      <w:autoSpaceDN w:val="0"/>
      <w:adjustRightInd w:val="0"/>
      <w:spacing w:before="170" w:after="170"/>
    </w:pPr>
    <w:rPr>
      <w:rFonts w:ascii="Arial" w:hAnsi="Arial" w:cs="Arial"/>
      <w:b/>
      <w:bCs/>
    </w:rPr>
  </w:style>
  <w:style w:type="paragraph" w:customStyle="1" w:styleId="Normal10">
    <w:name w:val="Normal 10"/>
    <w:basedOn w:val="Normal"/>
    <w:rsid w:val="00465CB6"/>
    <w:pPr>
      <w:autoSpaceDE w:val="0"/>
      <w:autoSpaceDN w:val="0"/>
      <w:adjustRightInd w:val="0"/>
      <w:spacing w:before="85" w:after="85"/>
      <w:ind w:firstLine="1134"/>
      <w:jc w:val="both"/>
    </w:pPr>
    <w:rPr>
      <w:rFonts w:ascii="Arial" w:hAnsi="Arial" w:cs="Arial"/>
    </w:rPr>
  </w:style>
  <w:style w:type="paragraph" w:customStyle="1" w:styleId="Artigo1">
    <w:name w:val="Artigo1"/>
    <w:basedOn w:val="Normal"/>
    <w:rsid w:val="00465CB6"/>
    <w:pPr>
      <w:autoSpaceDE w:val="0"/>
      <w:autoSpaceDN w:val="0"/>
      <w:adjustRightInd w:val="0"/>
      <w:spacing w:before="85" w:after="85"/>
      <w:jc w:val="both"/>
    </w:pPr>
    <w:rPr>
      <w:rFonts w:ascii="Arial" w:hAnsi="Arial" w:cs="Arial"/>
    </w:rPr>
  </w:style>
  <w:style w:type="paragraph" w:styleId="Assinatura">
    <w:name w:val="Signature"/>
    <w:basedOn w:val="Normal"/>
    <w:link w:val="AssinaturaChar"/>
    <w:rsid w:val="00465CB6"/>
    <w:pPr>
      <w:autoSpaceDE w:val="0"/>
      <w:autoSpaceDN w:val="0"/>
      <w:adjustRightInd w:val="0"/>
      <w:spacing w:before="51" w:after="51"/>
      <w:ind w:left="1134"/>
    </w:pPr>
    <w:rPr>
      <w:rFonts w:ascii="Arial" w:hAnsi="Arial"/>
      <w:i/>
      <w:iCs/>
    </w:rPr>
  </w:style>
  <w:style w:type="character" w:customStyle="1" w:styleId="AssinaturaChar">
    <w:name w:val="Assinatura Char"/>
    <w:basedOn w:val="Fontepargpadro"/>
    <w:link w:val="Assinatura"/>
    <w:rsid w:val="00465CB6"/>
    <w:rPr>
      <w:rFonts w:ascii="Arial" w:hAnsi="Arial"/>
      <w:i/>
      <w:iCs/>
    </w:rPr>
  </w:style>
  <w:style w:type="paragraph" w:customStyle="1" w:styleId="Alnea">
    <w:name w:val="Alínea"/>
    <w:basedOn w:val="Normal"/>
    <w:rsid w:val="00465CB6"/>
    <w:pPr>
      <w:autoSpaceDE w:val="0"/>
      <w:autoSpaceDN w:val="0"/>
      <w:adjustRightInd w:val="0"/>
      <w:spacing w:before="51" w:after="51"/>
      <w:ind w:left="1134"/>
      <w:jc w:val="both"/>
    </w:pPr>
    <w:rPr>
      <w:rFonts w:ascii="Arial" w:hAnsi="Arial" w:cs="Arial"/>
    </w:rPr>
  </w:style>
  <w:style w:type="paragraph" w:customStyle="1" w:styleId="normal100">
    <w:name w:val="normal10"/>
    <w:basedOn w:val="Normal"/>
    <w:rsid w:val="00465CB6"/>
    <w:pPr>
      <w:spacing w:before="100" w:beforeAutospacing="1" w:after="100" w:afterAutospacing="1"/>
    </w:pPr>
    <w:rPr>
      <w:rFonts w:ascii="Times New Roman" w:hAnsi="Times New Roman"/>
      <w:sz w:val="24"/>
      <w:szCs w:val="24"/>
    </w:rPr>
  </w:style>
  <w:style w:type="paragraph" w:customStyle="1" w:styleId="assunto0">
    <w:name w:val="assunto"/>
    <w:basedOn w:val="Normal"/>
    <w:rsid w:val="00465CB6"/>
    <w:pPr>
      <w:spacing w:before="100" w:beforeAutospacing="1" w:after="100" w:afterAutospacing="1"/>
    </w:pPr>
    <w:rPr>
      <w:rFonts w:ascii="Times New Roman" w:hAnsi="Times New Roman"/>
      <w:sz w:val="24"/>
      <w:szCs w:val="24"/>
    </w:rPr>
  </w:style>
  <w:style w:type="paragraph" w:customStyle="1" w:styleId="artigo10">
    <w:name w:val="artigo1"/>
    <w:basedOn w:val="Normal"/>
    <w:rsid w:val="00465CB6"/>
    <w:pPr>
      <w:spacing w:before="100" w:beforeAutospacing="1" w:after="100" w:afterAutospacing="1"/>
    </w:pPr>
    <w:rPr>
      <w:rFonts w:ascii="Times New Roman" w:hAnsi="Times New Roman"/>
      <w:sz w:val="24"/>
      <w:szCs w:val="24"/>
    </w:rPr>
  </w:style>
  <w:style w:type="paragraph" w:customStyle="1" w:styleId="inciso">
    <w:name w:val="inciso"/>
    <w:basedOn w:val="Normal"/>
    <w:rsid w:val="00465CB6"/>
    <w:pPr>
      <w:spacing w:before="100" w:beforeAutospacing="1" w:after="100" w:afterAutospacing="1"/>
    </w:pPr>
    <w:rPr>
      <w:rFonts w:ascii="Times New Roman" w:hAnsi="Times New Roman"/>
      <w:sz w:val="24"/>
      <w:szCs w:val="24"/>
    </w:rPr>
  </w:style>
  <w:style w:type="paragraph" w:customStyle="1" w:styleId="artigo0">
    <w:name w:val="artigo"/>
    <w:basedOn w:val="Normal"/>
    <w:rsid w:val="00465CB6"/>
    <w:pPr>
      <w:spacing w:before="100" w:beforeAutospacing="1" w:after="100" w:afterAutospacing="1"/>
    </w:pPr>
    <w:rPr>
      <w:rFonts w:ascii="Times New Roman" w:hAnsi="Times New Roman"/>
      <w:sz w:val="24"/>
      <w:szCs w:val="24"/>
    </w:rPr>
  </w:style>
  <w:style w:type="paragraph" w:customStyle="1" w:styleId="Textopadro">
    <w:name w:val="Texto padrão"/>
    <w:basedOn w:val="Normal"/>
    <w:rsid w:val="00465CB6"/>
    <w:pPr>
      <w:autoSpaceDE w:val="0"/>
      <w:autoSpaceDN w:val="0"/>
      <w:adjustRightInd w:val="0"/>
    </w:pPr>
    <w:rPr>
      <w:rFonts w:ascii="Times New Roman" w:hAnsi="Times New Roman"/>
      <w:sz w:val="24"/>
      <w:szCs w:val="24"/>
    </w:rPr>
  </w:style>
  <w:style w:type="paragraph" w:styleId="SemEspaamento">
    <w:name w:val="No Spacing"/>
    <w:uiPriority w:val="1"/>
    <w:qFormat/>
    <w:rsid w:val="00465CB6"/>
    <w:rPr>
      <w:sz w:val="24"/>
      <w:szCs w:val="24"/>
    </w:rPr>
  </w:style>
  <w:style w:type="character" w:customStyle="1" w:styleId="RecuodecorpodetextoChar">
    <w:name w:val="Recuo de corpo de texto Char"/>
    <w:basedOn w:val="Fontepargpadro"/>
    <w:link w:val="Recuodecorpodetexto"/>
    <w:rsid w:val="00CF2416"/>
    <w:rPr>
      <w:rFonts w:ascii="Helv" w:hAnsi="Helv"/>
      <w:lang w:val="en-US"/>
    </w:rPr>
  </w:style>
  <w:style w:type="numbering" w:customStyle="1" w:styleId="Semlista1">
    <w:name w:val="Sem lista1"/>
    <w:next w:val="Semlista"/>
    <w:uiPriority w:val="99"/>
    <w:semiHidden/>
    <w:unhideWhenUsed/>
    <w:rsid w:val="007662BC"/>
  </w:style>
  <w:style w:type="character" w:customStyle="1" w:styleId="Ttulo1Char">
    <w:name w:val="Título 1 Char"/>
    <w:basedOn w:val="Fontepargpadro"/>
    <w:link w:val="Ttulo1"/>
    <w:rsid w:val="007662BC"/>
    <w:rPr>
      <w:rFonts w:ascii="Arial" w:hAnsi="Arial"/>
      <w:b/>
      <w:lang w:val="en-US"/>
    </w:rPr>
  </w:style>
  <w:style w:type="character" w:customStyle="1" w:styleId="Ttulo3Char">
    <w:name w:val="Título 3 Char"/>
    <w:basedOn w:val="Fontepargpadro"/>
    <w:link w:val="Ttulo3"/>
    <w:uiPriority w:val="9"/>
    <w:rsid w:val="007662BC"/>
    <w:rPr>
      <w:b/>
      <w:bCs/>
      <w:sz w:val="26"/>
      <w:szCs w:val="24"/>
    </w:rPr>
  </w:style>
  <w:style w:type="character" w:customStyle="1" w:styleId="Ttulo4Char">
    <w:name w:val="Título 4 Char"/>
    <w:basedOn w:val="Fontepargpadro"/>
    <w:link w:val="Ttulo4"/>
    <w:rsid w:val="007662BC"/>
    <w:rPr>
      <w:rFonts w:ascii="Arial" w:hAnsi="Arial"/>
      <w:b/>
      <w:sz w:val="22"/>
      <w:lang w:val="en-US"/>
    </w:rPr>
  </w:style>
  <w:style w:type="character" w:customStyle="1" w:styleId="Ttulo5Char">
    <w:name w:val="Título 5 Char"/>
    <w:basedOn w:val="Fontepargpadro"/>
    <w:link w:val="Ttulo5"/>
    <w:rsid w:val="007662BC"/>
    <w:rPr>
      <w:rFonts w:ascii="Helv" w:hAnsi="Helv"/>
      <w:b/>
      <w:bCs/>
      <w:i/>
      <w:iCs/>
      <w:sz w:val="26"/>
      <w:szCs w:val="26"/>
      <w:lang w:val="en-US"/>
    </w:rPr>
  </w:style>
  <w:style w:type="character" w:customStyle="1" w:styleId="Ttulo6Char">
    <w:name w:val="Título 6 Char"/>
    <w:basedOn w:val="Fontepargpadro"/>
    <w:link w:val="Ttulo6"/>
    <w:rsid w:val="007662BC"/>
    <w:rPr>
      <w:b/>
      <w:bCs/>
      <w:sz w:val="22"/>
      <w:szCs w:val="22"/>
      <w:lang w:val="en-US"/>
    </w:rPr>
  </w:style>
  <w:style w:type="character" w:customStyle="1" w:styleId="Ttulo8Char">
    <w:name w:val="Título 8 Char"/>
    <w:basedOn w:val="Fontepargpadro"/>
    <w:link w:val="Ttulo8"/>
    <w:rsid w:val="007662BC"/>
    <w:rPr>
      <w:rFonts w:ascii="Arial Narrow" w:hAnsi="Arial Narrow"/>
      <w:b/>
      <w:bCs/>
      <w:color w:val="FF0000"/>
      <w:sz w:val="24"/>
      <w:szCs w:val="24"/>
    </w:rPr>
  </w:style>
  <w:style w:type="character" w:customStyle="1" w:styleId="Ttulo9Char">
    <w:name w:val="Título 9 Char"/>
    <w:basedOn w:val="Fontepargpadro"/>
    <w:link w:val="Ttulo9"/>
    <w:rsid w:val="007662BC"/>
    <w:rPr>
      <w:rFonts w:ascii="Arial" w:hAnsi="Arial" w:cs="Arial"/>
      <w:sz w:val="22"/>
      <w:szCs w:val="22"/>
      <w:lang w:val="en-US"/>
    </w:rPr>
  </w:style>
  <w:style w:type="character" w:customStyle="1" w:styleId="CabealhoChar">
    <w:name w:val="Cabeçalho Char"/>
    <w:basedOn w:val="Fontepargpadro"/>
    <w:link w:val="Cabealho"/>
    <w:rsid w:val="007662BC"/>
    <w:rPr>
      <w:rFonts w:ascii="Courier New" w:hAnsi="Courier New"/>
      <w:lang w:val="en-US"/>
    </w:rPr>
  </w:style>
  <w:style w:type="table" w:customStyle="1" w:styleId="Tabelacomgrade1">
    <w:name w:val="Tabela com grade1"/>
    <w:basedOn w:val="Tabelanormal"/>
    <w:next w:val="Tabelacomgrade"/>
    <w:uiPriority w:val="59"/>
    <w:rsid w:val="007662B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debaloChar">
    <w:name w:val="Texto de balão Char"/>
    <w:basedOn w:val="Fontepargpadro"/>
    <w:link w:val="Textodebalo"/>
    <w:uiPriority w:val="99"/>
    <w:semiHidden/>
    <w:rsid w:val="007662BC"/>
    <w:rPr>
      <w:rFonts w:ascii="Tahoma" w:hAnsi="Tahoma" w:cs="Tahoma"/>
      <w:sz w:val="16"/>
      <w:szCs w:val="16"/>
      <w:lang w:val="en-US"/>
    </w:rPr>
  </w:style>
  <w:style w:type="character" w:customStyle="1" w:styleId="SubttuloChar">
    <w:name w:val="Subtítulo Char"/>
    <w:basedOn w:val="Fontepargpadro"/>
    <w:link w:val="Subttulo"/>
    <w:rsid w:val="007662BC"/>
    <w:rPr>
      <w:rFonts w:ascii="Arial" w:hAnsi="Arial" w:cs="Arial"/>
      <w:b/>
      <w:bCs/>
      <w:sz w:val="28"/>
      <w:szCs w:val="24"/>
    </w:rPr>
  </w:style>
  <w:style w:type="paragraph" w:customStyle="1" w:styleId="Corpodetexto210">
    <w:name w:val="Corpo de texto 21"/>
    <w:basedOn w:val="Normal"/>
    <w:rsid w:val="007662BC"/>
    <w:pPr>
      <w:widowControl w:val="0"/>
      <w:overflowPunct w:val="0"/>
      <w:autoSpaceDE w:val="0"/>
      <w:autoSpaceDN w:val="0"/>
      <w:adjustRightInd w:val="0"/>
      <w:spacing w:line="180" w:lineRule="atLeast"/>
      <w:ind w:right="720"/>
      <w:jc w:val="both"/>
      <w:textAlignment w:val="baseline"/>
    </w:pPr>
    <w:rPr>
      <w:rFonts w:ascii="Arial" w:hAnsi="Arial"/>
    </w:rPr>
  </w:style>
  <w:style w:type="character" w:customStyle="1" w:styleId="TextodenotaderodapChar">
    <w:name w:val="Texto de nota de rodapé Char"/>
    <w:basedOn w:val="Fontepargpadro"/>
    <w:link w:val="Textodenotaderodap"/>
    <w:semiHidden/>
    <w:rsid w:val="007662BC"/>
    <w:rPr>
      <w:rFonts w:ascii="Arial" w:hAnsi="Arial"/>
      <w:lang w:val="en-US"/>
    </w:rPr>
  </w:style>
  <w:style w:type="paragraph" w:styleId="Commarcadores">
    <w:name w:val="List Bullet"/>
    <w:basedOn w:val="Normal"/>
    <w:rsid w:val="007662BC"/>
    <w:pPr>
      <w:numPr>
        <w:numId w:val="1"/>
      </w:numPr>
    </w:pPr>
  </w:style>
  <w:style w:type="character" w:customStyle="1" w:styleId="st1">
    <w:name w:val="st1"/>
    <w:basedOn w:val="Fontepargpadro"/>
    <w:rsid w:val="007662BC"/>
  </w:style>
  <w:style w:type="character" w:customStyle="1" w:styleId="CharChar1">
    <w:name w:val="Char Char1"/>
    <w:semiHidden/>
    <w:rsid w:val="007662BC"/>
    <w:rPr>
      <w:sz w:val="28"/>
      <w:lang w:val="pt-BR" w:eastAsia="pt-BR" w:bidi="ar-SA"/>
    </w:rPr>
  </w:style>
  <w:style w:type="paragraph" w:customStyle="1" w:styleId="ecxmsonormal">
    <w:name w:val="ecxmsonormal"/>
    <w:basedOn w:val="Normal"/>
    <w:rsid w:val="007662BC"/>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ontepargpadro"/>
    <w:rsid w:val="007662BC"/>
  </w:style>
  <w:style w:type="character" w:styleId="nfase">
    <w:name w:val="Emphasis"/>
    <w:uiPriority w:val="20"/>
    <w:qFormat/>
    <w:rsid w:val="007662BC"/>
    <w:rPr>
      <w:i/>
      <w:iCs/>
    </w:rPr>
  </w:style>
  <w:style w:type="character" w:customStyle="1" w:styleId="apple-style-span">
    <w:name w:val="apple-style-span"/>
    <w:basedOn w:val="Fontepargpadro"/>
    <w:rsid w:val="007662BC"/>
  </w:style>
  <w:style w:type="character" w:styleId="HiperlinkVisitado">
    <w:name w:val="FollowedHyperlink"/>
    <w:uiPriority w:val="99"/>
    <w:unhideWhenUsed/>
    <w:rsid w:val="007662BC"/>
    <w:rPr>
      <w:color w:val="800080"/>
      <w:u w:val="single"/>
    </w:rPr>
  </w:style>
  <w:style w:type="paragraph" w:customStyle="1" w:styleId="xl63">
    <w:name w:val="xl63"/>
    <w:basedOn w:val="Normal"/>
    <w:rsid w:val="007662BC"/>
    <w:pPr>
      <w:spacing w:before="100" w:beforeAutospacing="1" w:after="100" w:afterAutospacing="1"/>
      <w:textAlignment w:val="center"/>
    </w:pPr>
    <w:rPr>
      <w:rFonts w:ascii="Times New Roman" w:hAnsi="Times New Roman"/>
      <w:sz w:val="24"/>
      <w:szCs w:val="24"/>
    </w:rPr>
  </w:style>
  <w:style w:type="paragraph" w:customStyle="1" w:styleId="xl64">
    <w:name w:val="xl64"/>
    <w:basedOn w:val="Normal"/>
    <w:rsid w:val="007662BC"/>
    <w:pPr>
      <w:spacing w:before="100" w:beforeAutospacing="1" w:after="100" w:afterAutospacing="1"/>
    </w:pPr>
    <w:rPr>
      <w:rFonts w:ascii="Arial" w:hAnsi="Arial" w:cs="Arial"/>
      <w:sz w:val="16"/>
      <w:szCs w:val="16"/>
    </w:rPr>
  </w:style>
  <w:style w:type="paragraph" w:customStyle="1" w:styleId="xl65">
    <w:name w:val="xl65"/>
    <w:basedOn w:val="Normal"/>
    <w:rsid w:val="007662BC"/>
    <w:pPr>
      <w:spacing w:before="100" w:beforeAutospacing="1" w:after="100" w:afterAutospacing="1"/>
      <w:jc w:val="center"/>
      <w:textAlignment w:val="center"/>
    </w:pPr>
    <w:rPr>
      <w:rFonts w:ascii="Arial" w:hAnsi="Arial" w:cs="Arial"/>
      <w:b/>
      <w:bCs/>
      <w:sz w:val="18"/>
      <w:szCs w:val="18"/>
    </w:rPr>
  </w:style>
  <w:style w:type="paragraph" w:customStyle="1" w:styleId="xl66">
    <w:name w:val="xl66"/>
    <w:basedOn w:val="Normal"/>
    <w:rsid w:val="007662BC"/>
    <w:pPr>
      <w:spacing w:before="100" w:beforeAutospacing="1" w:after="100" w:afterAutospacing="1"/>
      <w:textAlignment w:val="center"/>
    </w:pPr>
    <w:rPr>
      <w:rFonts w:ascii="Arial" w:hAnsi="Arial" w:cs="Arial"/>
      <w:sz w:val="16"/>
      <w:szCs w:val="16"/>
    </w:rPr>
  </w:style>
  <w:style w:type="paragraph" w:customStyle="1" w:styleId="xl67">
    <w:name w:val="xl67"/>
    <w:basedOn w:val="Normal"/>
    <w:rsid w:val="007662BC"/>
    <w:pPr>
      <w:spacing w:before="100" w:beforeAutospacing="1" w:after="100" w:afterAutospacing="1"/>
      <w:textAlignment w:val="center"/>
    </w:pPr>
    <w:rPr>
      <w:rFonts w:ascii="Arial" w:hAnsi="Arial" w:cs="Arial"/>
      <w:color w:val="000080"/>
      <w:sz w:val="24"/>
      <w:szCs w:val="24"/>
    </w:rPr>
  </w:style>
  <w:style w:type="paragraph" w:customStyle="1" w:styleId="xl68">
    <w:name w:val="xl68"/>
    <w:basedOn w:val="Normal"/>
    <w:rsid w:val="007662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69">
    <w:name w:val="xl69"/>
    <w:basedOn w:val="Normal"/>
    <w:rsid w:val="007662BC"/>
    <w:pPr>
      <w:pBdr>
        <w:top w:val="single" w:sz="4" w:space="0" w:color="auto"/>
        <w:left w:val="single" w:sz="4" w:space="0" w:color="auto"/>
        <w:bottom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7662BC"/>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rsid w:val="007662BC"/>
    <w:pPr>
      <w:pBdr>
        <w:top w:val="single" w:sz="4" w:space="0" w:color="auto"/>
        <w:lef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7662BC"/>
    <w:pPr>
      <w:pBdr>
        <w:top w:val="single" w:sz="4" w:space="0" w:color="auto"/>
        <w:lef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3">
    <w:name w:val="xl73"/>
    <w:basedOn w:val="Normal"/>
    <w:rsid w:val="007662BC"/>
    <w:pPr>
      <w:pBdr>
        <w:lef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7662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5">
    <w:name w:val="xl75"/>
    <w:basedOn w:val="Normal"/>
    <w:rsid w:val="007662BC"/>
    <w:pPr>
      <w:pBdr>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6">
    <w:name w:val="xl76"/>
    <w:basedOn w:val="Normal"/>
    <w:rsid w:val="007662BC"/>
    <w:pPr>
      <w:pBdr>
        <w:left w:val="single" w:sz="4" w:space="0" w:color="auto"/>
        <w:bottom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7">
    <w:name w:val="xl77"/>
    <w:basedOn w:val="Normal"/>
    <w:rsid w:val="007662BC"/>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rsid w:val="007662BC"/>
    <w:pPr>
      <w:pBdr>
        <w:top w:val="single" w:sz="4" w:space="0" w:color="auto"/>
        <w:left w:val="single" w:sz="4" w:space="0" w:color="auto"/>
        <w:bottom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9">
    <w:name w:val="xl79"/>
    <w:basedOn w:val="Normal"/>
    <w:rsid w:val="007662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7662BC"/>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rsid w:val="007662BC"/>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rsid w:val="007662BC"/>
    <w:pPr>
      <w:pBdr>
        <w:top w:val="single" w:sz="4" w:space="0" w:color="auto"/>
        <w:bottom w:val="single" w:sz="4" w:space="0" w:color="auto"/>
      </w:pBdr>
      <w:spacing w:before="100" w:beforeAutospacing="1" w:after="100" w:afterAutospacing="1"/>
      <w:textAlignment w:val="center"/>
    </w:pPr>
    <w:rPr>
      <w:rFonts w:ascii="Verdana" w:hAnsi="Verdana"/>
      <w:sz w:val="16"/>
      <w:szCs w:val="16"/>
    </w:rPr>
  </w:style>
  <w:style w:type="paragraph" w:customStyle="1" w:styleId="xl83">
    <w:name w:val="xl83"/>
    <w:basedOn w:val="Normal"/>
    <w:rsid w:val="007662BC"/>
    <w:pPr>
      <w:pBdr>
        <w:bottom w:val="single" w:sz="4" w:space="0" w:color="auto"/>
      </w:pBdr>
      <w:spacing w:before="100" w:beforeAutospacing="1" w:after="100" w:afterAutospacing="1"/>
      <w:textAlignment w:val="center"/>
    </w:pPr>
    <w:rPr>
      <w:rFonts w:ascii="Verdana" w:hAnsi="Verdana"/>
      <w:sz w:val="16"/>
      <w:szCs w:val="16"/>
    </w:rPr>
  </w:style>
  <w:style w:type="paragraph" w:customStyle="1" w:styleId="xl84">
    <w:name w:val="xl84"/>
    <w:basedOn w:val="Normal"/>
    <w:rsid w:val="007662BC"/>
    <w:pPr>
      <w:pBdr>
        <w:top w:val="single" w:sz="4" w:space="0" w:color="auto"/>
      </w:pBdr>
      <w:spacing w:before="100" w:beforeAutospacing="1" w:after="100" w:afterAutospacing="1"/>
      <w:textAlignment w:val="center"/>
    </w:pPr>
    <w:rPr>
      <w:rFonts w:ascii="Verdana" w:hAnsi="Verdana"/>
      <w:sz w:val="16"/>
      <w:szCs w:val="16"/>
    </w:rPr>
  </w:style>
  <w:style w:type="paragraph" w:customStyle="1" w:styleId="xl85">
    <w:name w:val="xl85"/>
    <w:basedOn w:val="Normal"/>
    <w:rsid w:val="007662BC"/>
    <w:pPr>
      <w:pBdr>
        <w:top w:val="single" w:sz="4" w:space="0" w:color="auto"/>
        <w:bottom w:val="single" w:sz="4" w:space="0" w:color="auto"/>
        <w:right w:val="single" w:sz="4" w:space="0" w:color="auto"/>
      </w:pBdr>
      <w:spacing w:before="100" w:beforeAutospacing="1" w:after="100" w:afterAutospacing="1"/>
      <w:textAlignment w:val="center"/>
    </w:pPr>
    <w:rPr>
      <w:rFonts w:ascii="Verdana" w:hAnsi="Verdana"/>
      <w:sz w:val="16"/>
      <w:szCs w:val="16"/>
    </w:rPr>
  </w:style>
  <w:style w:type="paragraph" w:customStyle="1" w:styleId="xl86">
    <w:name w:val="xl86"/>
    <w:basedOn w:val="Normal"/>
    <w:rsid w:val="007662BC"/>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rsid w:val="007662BC"/>
    <w:pPr>
      <w:spacing w:before="100" w:beforeAutospacing="1" w:after="100" w:afterAutospacing="1"/>
      <w:textAlignment w:val="center"/>
    </w:pPr>
    <w:rPr>
      <w:rFonts w:ascii="Verdana" w:hAnsi="Verdana"/>
      <w:sz w:val="16"/>
      <w:szCs w:val="16"/>
    </w:rPr>
  </w:style>
  <w:style w:type="paragraph" w:customStyle="1" w:styleId="xl88">
    <w:name w:val="xl88"/>
    <w:basedOn w:val="Normal"/>
    <w:rsid w:val="007662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sz w:val="16"/>
      <w:szCs w:val="16"/>
    </w:rPr>
  </w:style>
  <w:style w:type="paragraph" w:customStyle="1" w:styleId="xl89">
    <w:name w:val="xl89"/>
    <w:basedOn w:val="Normal"/>
    <w:rsid w:val="007662BC"/>
    <w:pPr>
      <w:pBdr>
        <w:top w:val="single" w:sz="4" w:space="0" w:color="auto"/>
        <w:right w:val="single" w:sz="4" w:space="0" w:color="auto"/>
      </w:pBdr>
      <w:spacing w:before="100" w:beforeAutospacing="1" w:after="100" w:afterAutospacing="1"/>
      <w:textAlignment w:val="center"/>
    </w:pPr>
    <w:rPr>
      <w:rFonts w:ascii="Verdana" w:hAnsi="Verdana"/>
      <w:sz w:val="16"/>
      <w:szCs w:val="16"/>
    </w:rPr>
  </w:style>
  <w:style w:type="paragraph" w:customStyle="1" w:styleId="xl90">
    <w:name w:val="xl90"/>
    <w:basedOn w:val="Normal"/>
    <w:rsid w:val="007662BC"/>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rsid w:val="007662BC"/>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rsid w:val="007662BC"/>
    <w:pPr>
      <w:pBdr>
        <w:top w:val="single" w:sz="4" w:space="0" w:color="auto"/>
        <w:left w:val="single" w:sz="4" w:space="0" w:color="auto"/>
        <w:right w:val="single" w:sz="4" w:space="0" w:color="auto"/>
      </w:pBdr>
      <w:spacing w:before="100" w:beforeAutospacing="1" w:after="100" w:afterAutospacing="1"/>
      <w:textAlignment w:val="center"/>
    </w:pPr>
    <w:rPr>
      <w:rFonts w:ascii="Verdana" w:hAnsi="Verdana"/>
      <w:sz w:val="16"/>
      <w:szCs w:val="16"/>
    </w:rPr>
  </w:style>
  <w:style w:type="paragraph" w:customStyle="1" w:styleId="xl93">
    <w:name w:val="xl93"/>
    <w:basedOn w:val="Normal"/>
    <w:rsid w:val="007662BC"/>
    <w:pPr>
      <w:pBdr>
        <w:left w:val="single" w:sz="4" w:space="0" w:color="auto"/>
        <w:right w:val="single" w:sz="4" w:space="0" w:color="auto"/>
      </w:pBdr>
      <w:spacing w:before="100" w:beforeAutospacing="1" w:after="100" w:afterAutospacing="1"/>
      <w:textAlignment w:val="center"/>
    </w:pPr>
    <w:rPr>
      <w:rFonts w:ascii="Verdana" w:hAnsi="Verdana"/>
      <w:sz w:val="16"/>
      <w:szCs w:val="16"/>
    </w:rPr>
  </w:style>
  <w:style w:type="paragraph" w:customStyle="1" w:styleId="xl94">
    <w:name w:val="xl94"/>
    <w:basedOn w:val="Normal"/>
    <w:rsid w:val="007662BC"/>
    <w:pPr>
      <w:pBdr>
        <w:left w:val="single" w:sz="4" w:space="0" w:color="auto"/>
        <w:bottom w:val="single" w:sz="4" w:space="0" w:color="auto"/>
        <w:right w:val="single" w:sz="4" w:space="0" w:color="auto"/>
      </w:pBdr>
      <w:spacing w:before="100" w:beforeAutospacing="1" w:after="100" w:afterAutospacing="1"/>
      <w:textAlignment w:val="center"/>
    </w:pPr>
    <w:rPr>
      <w:rFonts w:ascii="Verdana" w:hAnsi="Verdana"/>
      <w:sz w:val="16"/>
      <w:szCs w:val="16"/>
    </w:rPr>
  </w:style>
  <w:style w:type="paragraph" w:customStyle="1" w:styleId="xl95">
    <w:name w:val="xl95"/>
    <w:basedOn w:val="Normal"/>
    <w:rsid w:val="007662BC"/>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rsid w:val="007662BC"/>
    <w:pPr>
      <w:pBdr>
        <w:bottom w:val="single" w:sz="4" w:space="0" w:color="auto"/>
        <w:right w:val="single" w:sz="4" w:space="0" w:color="auto"/>
      </w:pBdr>
      <w:spacing w:before="100" w:beforeAutospacing="1" w:after="100" w:afterAutospacing="1"/>
      <w:textAlignment w:val="center"/>
    </w:pPr>
    <w:rPr>
      <w:rFonts w:ascii="Verdana" w:hAnsi="Verdana"/>
      <w:sz w:val="16"/>
      <w:szCs w:val="16"/>
    </w:rPr>
  </w:style>
  <w:style w:type="paragraph" w:customStyle="1" w:styleId="xl97">
    <w:name w:val="xl97"/>
    <w:basedOn w:val="Normal"/>
    <w:rsid w:val="007662BC"/>
    <w:pPr>
      <w:pBdr>
        <w:top w:val="single" w:sz="4" w:space="0" w:color="auto"/>
        <w:left w:val="single" w:sz="4" w:space="0" w:color="auto"/>
        <w:bottom w:val="single" w:sz="4" w:space="0" w:color="auto"/>
      </w:pBdr>
      <w:spacing w:before="100" w:beforeAutospacing="1" w:after="100" w:afterAutospacing="1"/>
      <w:textAlignment w:val="center"/>
    </w:pPr>
    <w:rPr>
      <w:rFonts w:ascii="Verdana" w:hAnsi="Verdana"/>
      <w:sz w:val="16"/>
      <w:szCs w:val="16"/>
    </w:rPr>
  </w:style>
  <w:style w:type="paragraph" w:customStyle="1" w:styleId="xl98">
    <w:name w:val="xl98"/>
    <w:basedOn w:val="Normal"/>
    <w:rsid w:val="007662BC"/>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rsid w:val="007662BC"/>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rsid w:val="007662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color w:val="000080"/>
      <w:sz w:val="16"/>
      <w:szCs w:val="16"/>
    </w:rPr>
  </w:style>
  <w:style w:type="paragraph" w:customStyle="1" w:styleId="xl101">
    <w:name w:val="xl101"/>
    <w:basedOn w:val="Normal"/>
    <w:rsid w:val="007662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color w:val="000080"/>
      <w:sz w:val="16"/>
      <w:szCs w:val="16"/>
    </w:rPr>
  </w:style>
  <w:style w:type="paragraph" w:customStyle="1" w:styleId="xl102">
    <w:name w:val="xl102"/>
    <w:basedOn w:val="Normal"/>
    <w:rsid w:val="007662B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rsid w:val="007662BC"/>
    <w:pPr>
      <w:pBdr>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04">
    <w:name w:val="xl104"/>
    <w:basedOn w:val="Normal"/>
    <w:rsid w:val="007662BC"/>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b/>
      <w:bCs/>
      <w:color w:val="000080"/>
      <w:sz w:val="16"/>
      <w:szCs w:val="16"/>
    </w:rPr>
  </w:style>
  <w:style w:type="paragraph" w:customStyle="1" w:styleId="xl105">
    <w:name w:val="xl105"/>
    <w:basedOn w:val="Normal"/>
    <w:rsid w:val="007662BC"/>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b/>
      <w:bCs/>
      <w:color w:val="000080"/>
      <w:sz w:val="16"/>
      <w:szCs w:val="16"/>
    </w:rPr>
  </w:style>
  <w:style w:type="paragraph" w:customStyle="1" w:styleId="xl106">
    <w:name w:val="xl106"/>
    <w:basedOn w:val="Normal"/>
    <w:rsid w:val="007662BC"/>
    <w:pPr>
      <w:pBdr>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color w:val="000080"/>
      <w:sz w:val="16"/>
      <w:szCs w:val="16"/>
    </w:rPr>
  </w:style>
  <w:style w:type="paragraph" w:customStyle="1" w:styleId="xl107">
    <w:name w:val="xl107"/>
    <w:basedOn w:val="Normal"/>
    <w:rsid w:val="007662B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rsid w:val="007662BC"/>
    <w:pPr>
      <w:pBdr>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09">
    <w:name w:val="xl109"/>
    <w:basedOn w:val="Normal"/>
    <w:rsid w:val="007662BC"/>
    <w:pPr>
      <w:spacing w:before="100" w:beforeAutospacing="1" w:after="100" w:afterAutospacing="1"/>
    </w:pPr>
    <w:rPr>
      <w:rFonts w:ascii="Verdana" w:hAnsi="Verdana"/>
      <w:sz w:val="16"/>
      <w:szCs w:val="16"/>
    </w:rPr>
  </w:style>
  <w:style w:type="paragraph" w:customStyle="1" w:styleId="xl110">
    <w:name w:val="xl110"/>
    <w:basedOn w:val="Normal"/>
    <w:rsid w:val="007662BC"/>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rsid w:val="007662BC"/>
    <w:pPr>
      <w:spacing w:before="100" w:beforeAutospacing="1" w:after="100" w:afterAutospacing="1"/>
      <w:textAlignment w:val="center"/>
    </w:pPr>
    <w:rPr>
      <w:rFonts w:ascii="Brush Script MT" w:hAnsi="Brush Script MT"/>
      <w:sz w:val="24"/>
      <w:szCs w:val="24"/>
    </w:rPr>
  </w:style>
  <w:style w:type="paragraph" w:customStyle="1" w:styleId="xl112">
    <w:name w:val="xl112"/>
    <w:basedOn w:val="Normal"/>
    <w:rsid w:val="007662BC"/>
    <w:pPr>
      <w:spacing w:before="100" w:beforeAutospacing="1" w:after="100" w:afterAutospacing="1"/>
      <w:textAlignment w:val="center"/>
    </w:pPr>
    <w:rPr>
      <w:rFonts w:ascii="Arial" w:hAnsi="Arial" w:cs="Arial"/>
      <w:sz w:val="24"/>
      <w:szCs w:val="24"/>
    </w:rPr>
  </w:style>
  <w:style w:type="paragraph" w:customStyle="1" w:styleId="xl113">
    <w:name w:val="xl113"/>
    <w:basedOn w:val="Normal"/>
    <w:rsid w:val="007662BC"/>
    <w:pPr>
      <w:spacing w:before="100" w:beforeAutospacing="1" w:after="100" w:afterAutospacing="1"/>
    </w:pPr>
    <w:rPr>
      <w:rFonts w:ascii="Brush Script MT" w:hAnsi="Brush Script MT"/>
      <w:sz w:val="28"/>
      <w:szCs w:val="28"/>
    </w:rPr>
  </w:style>
  <w:style w:type="paragraph" w:customStyle="1" w:styleId="xl114">
    <w:name w:val="xl114"/>
    <w:basedOn w:val="Normal"/>
    <w:rsid w:val="007662B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Verdana" w:hAnsi="Verdana"/>
      <w:b/>
      <w:bCs/>
      <w:sz w:val="18"/>
      <w:szCs w:val="18"/>
      <w:u w:val="single"/>
    </w:rPr>
  </w:style>
  <w:style w:type="paragraph" w:customStyle="1" w:styleId="xl115">
    <w:name w:val="xl115"/>
    <w:basedOn w:val="Normal"/>
    <w:rsid w:val="007662BC"/>
    <w:pPr>
      <w:pBdr>
        <w:top w:val="single" w:sz="4" w:space="0" w:color="auto"/>
        <w:left w:val="single" w:sz="4" w:space="0" w:color="auto"/>
        <w:bottom w:val="single" w:sz="4" w:space="0" w:color="auto"/>
      </w:pBdr>
      <w:shd w:val="clear" w:color="000000" w:fill="00B0F0"/>
      <w:spacing w:before="100" w:beforeAutospacing="1" w:after="100" w:afterAutospacing="1"/>
      <w:jc w:val="center"/>
      <w:textAlignment w:val="center"/>
    </w:pPr>
    <w:rPr>
      <w:rFonts w:ascii="Verdana" w:hAnsi="Verdana"/>
      <w:b/>
      <w:bCs/>
      <w:sz w:val="18"/>
      <w:szCs w:val="18"/>
      <w:u w:val="single"/>
    </w:rPr>
  </w:style>
  <w:style w:type="paragraph" w:customStyle="1" w:styleId="xl116">
    <w:name w:val="xl116"/>
    <w:basedOn w:val="Normal"/>
    <w:rsid w:val="007662BC"/>
    <w:pPr>
      <w:pBdr>
        <w:left w:val="single" w:sz="4" w:space="0" w:color="auto"/>
        <w:bottom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17">
    <w:name w:val="xl117"/>
    <w:basedOn w:val="Normal"/>
    <w:rsid w:val="007662BC"/>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118">
    <w:name w:val="xl118"/>
    <w:basedOn w:val="Normal"/>
    <w:rsid w:val="007662BC"/>
    <w:pPr>
      <w:pBdr>
        <w:left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119">
    <w:name w:val="xl119"/>
    <w:basedOn w:val="Normal"/>
    <w:rsid w:val="007662BC"/>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20">
    <w:name w:val="xl120"/>
    <w:basedOn w:val="Normal"/>
    <w:rsid w:val="007662BC"/>
    <w:pPr>
      <w:pBdr>
        <w:top w:val="single" w:sz="4" w:space="0" w:color="auto"/>
        <w:lef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121">
    <w:name w:val="xl121"/>
    <w:basedOn w:val="Normal"/>
    <w:rsid w:val="007662BC"/>
    <w:pPr>
      <w:pBdr>
        <w:lef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122">
    <w:name w:val="xl122"/>
    <w:basedOn w:val="Normal"/>
    <w:rsid w:val="007662BC"/>
    <w:pPr>
      <w:pBdr>
        <w:left w:val="single" w:sz="4" w:space="0" w:color="auto"/>
        <w:bottom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123">
    <w:name w:val="xl123"/>
    <w:basedOn w:val="Normal"/>
    <w:rsid w:val="007662BC"/>
    <w:pPr>
      <w:pBdr>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24">
    <w:name w:val="xl124"/>
    <w:basedOn w:val="Normal"/>
    <w:rsid w:val="007662BC"/>
    <w:pPr>
      <w:pBdr>
        <w:top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25">
    <w:name w:val="xl125"/>
    <w:basedOn w:val="Normal"/>
    <w:rsid w:val="007662BC"/>
    <w:pPr>
      <w:spacing w:before="100" w:beforeAutospacing="1" w:after="100" w:afterAutospacing="1"/>
    </w:pPr>
    <w:rPr>
      <w:rFonts w:ascii="Freestyle Script" w:hAnsi="Freestyle Script"/>
      <w:b/>
      <w:bCs/>
      <w:sz w:val="28"/>
      <w:szCs w:val="28"/>
    </w:rPr>
  </w:style>
  <w:style w:type="numbering" w:customStyle="1" w:styleId="Semlista2">
    <w:name w:val="Sem lista2"/>
    <w:next w:val="Semlista"/>
    <w:uiPriority w:val="99"/>
    <w:semiHidden/>
    <w:unhideWhenUsed/>
    <w:rsid w:val="004515D6"/>
  </w:style>
  <w:style w:type="table" w:customStyle="1" w:styleId="Tabelacomgrade2">
    <w:name w:val="Tabela com grade2"/>
    <w:basedOn w:val="Tabelanormal"/>
    <w:next w:val="Tabelacomgrade"/>
    <w:rsid w:val="004515D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basedOn w:val="Normal"/>
    <w:rsid w:val="004515D6"/>
    <w:rPr>
      <w:rFonts w:ascii="Times New Roman" w:hAnsi="Times New Roman"/>
      <w:sz w:val="24"/>
      <w:szCs w:val="24"/>
    </w:rPr>
  </w:style>
  <w:style w:type="character" w:customStyle="1" w:styleId="normalchar1">
    <w:name w:val="normal__char1"/>
    <w:rsid w:val="004515D6"/>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4515D6"/>
    <w:pPr>
      <w:suppressLineNumbers/>
      <w:suppressAutoHyphens/>
    </w:pPr>
    <w:rPr>
      <w:rFonts w:ascii="Times New Roman" w:hAnsi="Times New Roman"/>
      <w:sz w:val="24"/>
      <w:lang w:eastAsia="ar-SA"/>
    </w:rPr>
  </w:style>
  <w:style w:type="paragraph" w:customStyle="1" w:styleId="Textoembloco1">
    <w:name w:val="Texto em bloco1"/>
    <w:basedOn w:val="Normal"/>
    <w:rsid w:val="009A5808"/>
    <w:pPr>
      <w:ind w:left="2832" w:right="567" w:hanging="2832"/>
      <w:jc w:val="both"/>
    </w:pPr>
    <w:rPr>
      <w:rFonts w:ascii="Courier" w:hAnsi="Courier"/>
      <w:sz w:val="24"/>
    </w:rPr>
  </w:style>
  <w:style w:type="paragraph" w:customStyle="1" w:styleId="font5">
    <w:name w:val="font5"/>
    <w:basedOn w:val="Normal"/>
    <w:rsid w:val="00ED459C"/>
    <w:pPr>
      <w:spacing w:before="100" w:beforeAutospacing="1" w:after="100" w:afterAutospacing="1"/>
    </w:pPr>
    <w:rPr>
      <w:rFonts w:ascii="Verdana" w:hAnsi="Verdana"/>
      <w:b/>
      <w:bCs/>
      <w:color w:val="FF0000"/>
      <w:sz w:val="16"/>
      <w:szCs w:val="16"/>
    </w:rPr>
  </w:style>
  <w:style w:type="paragraph" w:customStyle="1" w:styleId="xl126">
    <w:name w:val="xl126"/>
    <w:basedOn w:val="Normal"/>
    <w:rsid w:val="00ED459C"/>
    <w:pPr>
      <w:pBdr>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27">
    <w:name w:val="xl127"/>
    <w:basedOn w:val="Normal"/>
    <w:rsid w:val="00ED459C"/>
    <w:pPr>
      <w:pBdr>
        <w:top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28">
    <w:name w:val="xl128"/>
    <w:basedOn w:val="Normal"/>
    <w:rsid w:val="00ED459C"/>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29">
    <w:name w:val="xl129"/>
    <w:basedOn w:val="Normal"/>
    <w:rsid w:val="00ED459C"/>
    <w:pPr>
      <w:pBdr>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30">
    <w:name w:val="xl130"/>
    <w:basedOn w:val="Normal"/>
    <w:rsid w:val="00ED459C"/>
    <w:pPr>
      <w:pBdr>
        <w:top w:val="single" w:sz="4" w:space="0" w:color="auto"/>
        <w:lef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131">
    <w:name w:val="xl131"/>
    <w:basedOn w:val="Normal"/>
    <w:rsid w:val="00ED459C"/>
    <w:pPr>
      <w:pBdr>
        <w:left w:val="single" w:sz="4" w:space="0" w:color="auto"/>
        <w:bottom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132">
    <w:name w:val="xl132"/>
    <w:basedOn w:val="Normal"/>
    <w:rsid w:val="00ED459C"/>
    <w:pPr>
      <w:pBdr>
        <w:top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33">
    <w:name w:val="xl133"/>
    <w:basedOn w:val="Normal"/>
    <w:rsid w:val="00ED459C"/>
    <w:pPr>
      <w:pBdr>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34">
    <w:name w:val="xl134"/>
    <w:basedOn w:val="Normal"/>
    <w:rsid w:val="00ED459C"/>
    <w:pPr>
      <w:pBdr>
        <w:lef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font6">
    <w:name w:val="font6"/>
    <w:basedOn w:val="Normal"/>
    <w:rsid w:val="00997A59"/>
    <w:pPr>
      <w:spacing w:before="100" w:beforeAutospacing="1" w:after="100" w:afterAutospacing="1"/>
    </w:pPr>
    <w:rPr>
      <w:rFonts w:ascii="Arial" w:hAnsi="Arial" w:cs="Arial"/>
      <w:sz w:val="18"/>
      <w:szCs w:val="18"/>
    </w:rPr>
  </w:style>
  <w:style w:type="paragraph" w:customStyle="1" w:styleId="font7">
    <w:name w:val="font7"/>
    <w:basedOn w:val="Normal"/>
    <w:rsid w:val="00997A59"/>
    <w:pPr>
      <w:spacing w:before="100" w:beforeAutospacing="1" w:after="100" w:afterAutospacing="1"/>
    </w:pPr>
    <w:rPr>
      <w:rFonts w:ascii="Arial" w:hAnsi="Arial" w:cs="Arial"/>
      <w:sz w:val="24"/>
      <w:szCs w:val="24"/>
    </w:rPr>
  </w:style>
  <w:style w:type="paragraph" w:customStyle="1" w:styleId="xl135">
    <w:name w:val="xl135"/>
    <w:basedOn w:val="Normal"/>
    <w:rsid w:val="00997A59"/>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36">
    <w:name w:val="xl136"/>
    <w:basedOn w:val="Normal"/>
    <w:rsid w:val="00997A5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37">
    <w:name w:val="xl137"/>
    <w:basedOn w:val="Normal"/>
    <w:rsid w:val="00997A5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38">
    <w:name w:val="xl138"/>
    <w:basedOn w:val="Normal"/>
    <w:rsid w:val="00997A59"/>
    <w:pPr>
      <w:pBdr>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39">
    <w:name w:val="xl139"/>
    <w:basedOn w:val="Normal"/>
    <w:rsid w:val="00997A59"/>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40">
    <w:name w:val="xl140"/>
    <w:basedOn w:val="Normal"/>
    <w:rsid w:val="00997A59"/>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rPr>
      <w:rFonts w:ascii="Arial" w:hAnsi="Arial" w:cs="Arial"/>
      <w:b/>
      <w:bCs/>
      <w:sz w:val="16"/>
      <w:szCs w:val="16"/>
    </w:rPr>
  </w:style>
  <w:style w:type="paragraph" w:customStyle="1" w:styleId="xl141">
    <w:name w:val="xl141"/>
    <w:basedOn w:val="Normal"/>
    <w:rsid w:val="00997A59"/>
    <w:pPr>
      <w:pBdr>
        <w:top w:val="single" w:sz="4" w:space="0" w:color="auto"/>
        <w:bottom w:val="single" w:sz="4" w:space="0" w:color="auto"/>
      </w:pBdr>
      <w:shd w:val="clear" w:color="000000" w:fill="CCFFCC"/>
      <w:spacing w:before="100" w:beforeAutospacing="1" w:after="100" w:afterAutospacing="1"/>
      <w:jc w:val="center"/>
      <w:textAlignment w:val="center"/>
    </w:pPr>
    <w:rPr>
      <w:rFonts w:ascii="Arial" w:hAnsi="Arial" w:cs="Arial"/>
      <w:b/>
      <w:bCs/>
      <w:sz w:val="16"/>
      <w:szCs w:val="16"/>
    </w:rPr>
  </w:style>
  <w:style w:type="paragraph" w:customStyle="1" w:styleId="xl142">
    <w:name w:val="xl142"/>
    <w:basedOn w:val="Normal"/>
    <w:rsid w:val="00997A59"/>
    <w:pPr>
      <w:pBdr>
        <w:top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b/>
      <w:bCs/>
      <w:sz w:val="16"/>
      <w:szCs w:val="16"/>
    </w:rPr>
  </w:style>
  <w:style w:type="paragraph" w:customStyle="1" w:styleId="xl143">
    <w:name w:val="xl143"/>
    <w:basedOn w:val="Normal"/>
    <w:rsid w:val="00997A59"/>
    <w:pPr>
      <w:pBdr>
        <w:right w:val="single" w:sz="4" w:space="0" w:color="auto"/>
      </w:pBdr>
      <w:spacing w:before="100" w:beforeAutospacing="1" w:after="100" w:afterAutospacing="1"/>
      <w:textAlignment w:val="center"/>
    </w:pPr>
    <w:rPr>
      <w:rFonts w:ascii="Arial" w:hAnsi="Arial" w:cs="Arial"/>
      <w:sz w:val="24"/>
      <w:szCs w:val="24"/>
    </w:rPr>
  </w:style>
  <w:style w:type="paragraph" w:customStyle="1" w:styleId="xl144">
    <w:name w:val="xl144"/>
    <w:basedOn w:val="Normal"/>
    <w:rsid w:val="00997A59"/>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b/>
      <w:bCs/>
      <w:sz w:val="16"/>
      <w:szCs w:val="16"/>
    </w:rPr>
  </w:style>
  <w:style w:type="paragraph" w:customStyle="1" w:styleId="xl145">
    <w:name w:val="xl145"/>
    <w:basedOn w:val="Normal"/>
    <w:rsid w:val="00997A59"/>
    <w:pPr>
      <w:shd w:val="clear" w:color="000000" w:fill="CCFFCC"/>
      <w:spacing w:before="100" w:beforeAutospacing="1" w:after="100" w:afterAutospacing="1"/>
      <w:jc w:val="center"/>
      <w:textAlignment w:val="center"/>
    </w:pPr>
    <w:rPr>
      <w:rFonts w:ascii="Arial" w:hAnsi="Arial" w:cs="Arial"/>
      <w:b/>
      <w:bCs/>
      <w:sz w:val="16"/>
      <w:szCs w:val="16"/>
    </w:rPr>
  </w:style>
  <w:style w:type="paragraph" w:customStyle="1" w:styleId="xl146">
    <w:name w:val="xl146"/>
    <w:basedOn w:val="Normal"/>
    <w:rsid w:val="00997A59"/>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b/>
      <w:bCs/>
      <w:sz w:val="16"/>
      <w:szCs w:val="16"/>
    </w:rPr>
  </w:style>
  <w:style w:type="paragraph" w:customStyle="1" w:styleId="xl147">
    <w:name w:val="xl147"/>
    <w:basedOn w:val="Normal"/>
    <w:rsid w:val="00997A59"/>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rPr>
      <w:rFonts w:ascii="Arial" w:hAnsi="Arial" w:cs="Arial"/>
      <w:b/>
      <w:bCs/>
      <w:color w:val="FF0000"/>
      <w:sz w:val="16"/>
      <w:szCs w:val="16"/>
    </w:rPr>
  </w:style>
  <w:style w:type="paragraph" w:customStyle="1" w:styleId="xl148">
    <w:name w:val="xl148"/>
    <w:basedOn w:val="Normal"/>
    <w:rsid w:val="00997A59"/>
    <w:pPr>
      <w:pBdr>
        <w:top w:val="single" w:sz="4" w:space="0" w:color="auto"/>
        <w:bottom w:val="single" w:sz="4" w:space="0" w:color="auto"/>
      </w:pBdr>
      <w:shd w:val="clear" w:color="000000" w:fill="CCFFCC"/>
      <w:spacing w:before="100" w:beforeAutospacing="1" w:after="100" w:afterAutospacing="1"/>
      <w:jc w:val="center"/>
      <w:textAlignment w:val="center"/>
    </w:pPr>
    <w:rPr>
      <w:rFonts w:ascii="Arial" w:hAnsi="Arial" w:cs="Arial"/>
      <w:b/>
      <w:bCs/>
      <w:color w:val="FF0000"/>
      <w:sz w:val="16"/>
      <w:szCs w:val="16"/>
    </w:rPr>
  </w:style>
  <w:style w:type="paragraph" w:customStyle="1" w:styleId="xl149">
    <w:name w:val="xl149"/>
    <w:basedOn w:val="Normal"/>
    <w:rsid w:val="00997A59"/>
    <w:pPr>
      <w:pBdr>
        <w:top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b/>
      <w:bCs/>
      <w:color w:val="FF0000"/>
      <w:sz w:val="16"/>
      <w:szCs w:val="16"/>
    </w:rPr>
  </w:style>
  <w:style w:type="paragraph" w:customStyle="1" w:styleId="xl150">
    <w:name w:val="xl150"/>
    <w:basedOn w:val="Normal"/>
    <w:rsid w:val="00997A5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51">
    <w:name w:val="xl151"/>
    <w:basedOn w:val="Normal"/>
    <w:rsid w:val="00997A59"/>
    <w:pPr>
      <w:pBdr>
        <w:left w:val="single" w:sz="4" w:space="0" w:color="auto"/>
      </w:pBdr>
      <w:spacing w:before="100" w:beforeAutospacing="1" w:after="100" w:afterAutospacing="1"/>
      <w:textAlignment w:val="center"/>
    </w:pPr>
    <w:rPr>
      <w:rFonts w:ascii="Arial" w:hAnsi="Arial" w:cs="Arial"/>
      <w:sz w:val="24"/>
      <w:szCs w:val="24"/>
    </w:rPr>
  </w:style>
  <w:style w:type="paragraph" w:customStyle="1" w:styleId="xl152">
    <w:name w:val="xl152"/>
    <w:basedOn w:val="Normal"/>
    <w:rsid w:val="00997A59"/>
    <w:pPr>
      <w:pBdr>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53">
    <w:name w:val="xl153"/>
    <w:basedOn w:val="Normal"/>
    <w:rsid w:val="00997A59"/>
    <w:pPr>
      <w:pBdr>
        <w:left w:val="single" w:sz="4" w:space="0" w:color="auto"/>
        <w:bottom w:val="single" w:sz="4" w:space="0" w:color="auto"/>
      </w:pBdr>
      <w:spacing w:before="100" w:beforeAutospacing="1" w:after="100" w:afterAutospacing="1"/>
      <w:textAlignment w:val="center"/>
    </w:pPr>
    <w:rPr>
      <w:rFonts w:ascii="Arial" w:hAnsi="Arial" w:cs="Arial"/>
      <w:sz w:val="24"/>
      <w:szCs w:val="24"/>
    </w:rPr>
  </w:style>
  <w:style w:type="paragraph" w:customStyle="1" w:styleId="xl154">
    <w:name w:val="xl154"/>
    <w:basedOn w:val="Normal"/>
    <w:rsid w:val="00997A59"/>
    <w:pPr>
      <w:pBdr>
        <w:top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55">
    <w:name w:val="xl155"/>
    <w:basedOn w:val="Normal"/>
    <w:rsid w:val="00997A59"/>
    <w:pPr>
      <w:pBdr>
        <w:top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56">
    <w:name w:val="xl156"/>
    <w:basedOn w:val="Normal"/>
    <w:rsid w:val="00997A59"/>
    <w:pPr>
      <w:pBdr>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57">
    <w:name w:val="xl157"/>
    <w:basedOn w:val="Normal"/>
    <w:rsid w:val="00997A59"/>
    <w:pPr>
      <w:pBdr>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58">
    <w:name w:val="xl158"/>
    <w:basedOn w:val="Normal"/>
    <w:rsid w:val="00997A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159">
    <w:name w:val="xl159"/>
    <w:basedOn w:val="Normal"/>
    <w:rsid w:val="00997A59"/>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b/>
      <w:bCs/>
      <w:sz w:val="24"/>
      <w:szCs w:val="24"/>
    </w:rPr>
  </w:style>
  <w:style w:type="paragraph" w:customStyle="1" w:styleId="xl160">
    <w:name w:val="xl160"/>
    <w:basedOn w:val="Normal"/>
    <w:rsid w:val="00997A59"/>
    <w:pPr>
      <w:pBdr>
        <w:top w:val="single" w:sz="4" w:space="0" w:color="auto"/>
        <w:left w:val="single" w:sz="4" w:space="0" w:color="auto"/>
        <w:bottom w:val="single" w:sz="4" w:space="0" w:color="auto"/>
      </w:pBdr>
      <w:spacing w:before="100" w:beforeAutospacing="1" w:after="100" w:afterAutospacing="1"/>
    </w:pPr>
    <w:rPr>
      <w:rFonts w:ascii="Arial" w:hAnsi="Arial" w:cs="Arial"/>
      <w:b/>
      <w:bCs/>
      <w:sz w:val="24"/>
      <w:szCs w:val="24"/>
    </w:rPr>
  </w:style>
  <w:style w:type="paragraph" w:customStyle="1" w:styleId="xl161">
    <w:name w:val="xl161"/>
    <w:basedOn w:val="Normal"/>
    <w:rsid w:val="00997A59"/>
    <w:pPr>
      <w:pBdr>
        <w:top w:val="single" w:sz="4" w:space="0" w:color="auto"/>
        <w:left w:val="single" w:sz="4" w:space="0" w:color="auto"/>
      </w:pBdr>
      <w:shd w:val="clear" w:color="000000" w:fill="FFFF00"/>
      <w:spacing w:before="100" w:beforeAutospacing="1" w:after="100" w:afterAutospacing="1"/>
      <w:jc w:val="center"/>
    </w:pPr>
    <w:rPr>
      <w:rFonts w:ascii="Arial" w:hAnsi="Arial" w:cs="Arial"/>
      <w:b/>
      <w:bCs/>
      <w:sz w:val="24"/>
      <w:szCs w:val="24"/>
    </w:rPr>
  </w:style>
  <w:style w:type="paragraph" w:customStyle="1" w:styleId="xl162">
    <w:name w:val="xl162"/>
    <w:basedOn w:val="Normal"/>
    <w:rsid w:val="00997A59"/>
    <w:pPr>
      <w:pBdr>
        <w:left w:val="single" w:sz="4" w:space="0" w:color="auto"/>
        <w:bottom w:val="single" w:sz="4" w:space="0" w:color="auto"/>
      </w:pBdr>
      <w:shd w:val="clear" w:color="000000" w:fill="FFFF00"/>
      <w:spacing w:before="100" w:beforeAutospacing="1" w:after="100" w:afterAutospacing="1"/>
      <w:jc w:val="center"/>
    </w:pPr>
    <w:rPr>
      <w:rFonts w:ascii="Arial" w:hAnsi="Arial" w:cs="Arial"/>
      <w:b/>
      <w:bCs/>
      <w:sz w:val="24"/>
      <w:szCs w:val="24"/>
    </w:rPr>
  </w:style>
  <w:style w:type="paragraph" w:customStyle="1" w:styleId="xl163">
    <w:name w:val="xl163"/>
    <w:basedOn w:val="Normal"/>
    <w:rsid w:val="00997A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500245011">
      <w:bodyDiv w:val="1"/>
      <w:marLeft w:val="0"/>
      <w:marRight w:val="0"/>
      <w:marTop w:val="0"/>
      <w:marBottom w:val="0"/>
      <w:divBdr>
        <w:top w:val="none" w:sz="0" w:space="0" w:color="auto"/>
        <w:left w:val="none" w:sz="0" w:space="0" w:color="auto"/>
        <w:bottom w:val="none" w:sz="0" w:space="0" w:color="auto"/>
        <w:right w:val="none" w:sz="0" w:space="0" w:color="auto"/>
      </w:divBdr>
    </w:div>
    <w:div w:id="777603240">
      <w:bodyDiv w:val="1"/>
      <w:marLeft w:val="0"/>
      <w:marRight w:val="0"/>
      <w:marTop w:val="0"/>
      <w:marBottom w:val="0"/>
      <w:divBdr>
        <w:top w:val="none" w:sz="0" w:space="0" w:color="auto"/>
        <w:left w:val="none" w:sz="0" w:space="0" w:color="auto"/>
        <w:bottom w:val="none" w:sz="0" w:space="0" w:color="auto"/>
        <w:right w:val="none" w:sz="0" w:space="0" w:color="auto"/>
      </w:divBdr>
    </w:div>
    <w:div w:id="1381326214">
      <w:bodyDiv w:val="1"/>
      <w:marLeft w:val="0"/>
      <w:marRight w:val="0"/>
      <w:marTop w:val="0"/>
      <w:marBottom w:val="0"/>
      <w:divBdr>
        <w:top w:val="none" w:sz="0" w:space="0" w:color="auto"/>
        <w:left w:val="none" w:sz="0" w:space="0" w:color="auto"/>
        <w:bottom w:val="none" w:sz="0" w:space="0" w:color="auto"/>
        <w:right w:val="none" w:sz="0" w:space="0" w:color="auto"/>
      </w:divBdr>
    </w:div>
    <w:div w:id="1648391899">
      <w:bodyDiv w:val="1"/>
      <w:marLeft w:val="0"/>
      <w:marRight w:val="0"/>
      <w:marTop w:val="0"/>
      <w:marBottom w:val="0"/>
      <w:divBdr>
        <w:top w:val="none" w:sz="0" w:space="0" w:color="auto"/>
        <w:left w:val="none" w:sz="0" w:space="0" w:color="auto"/>
        <w:bottom w:val="none" w:sz="0" w:space="0" w:color="auto"/>
        <w:right w:val="none" w:sz="0" w:space="0" w:color="auto"/>
      </w:divBdr>
    </w:div>
    <w:div w:id="1756898373">
      <w:bodyDiv w:val="1"/>
      <w:marLeft w:val="0"/>
      <w:marRight w:val="0"/>
      <w:marTop w:val="0"/>
      <w:marBottom w:val="0"/>
      <w:divBdr>
        <w:top w:val="none" w:sz="0" w:space="0" w:color="auto"/>
        <w:left w:val="none" w:sz="0" w:space="0" w:color="auto"/>
        <w:bottom w:val="none" w:sz="0" w:space="0" w:color="auto"/>
        <w:right w:val="none" w:sz="0" w:space="0" w:color="auto"/>
      </w:divBdr>
    </w:div>
    <w:div w:id="1764910922">
      <w:bodyDiv w:val="1"/>
      <w:marLeft w:val="0"/>
      <w:marRight w:val="0"/>
      <w:marTop w:val="0"/>
      <w:marBottom w:val="0"/>
      <w:divBdr>
        <w:top w:val="none" w:sz="0" w:space="0" w:color="auto"/>
        <w:left w:val="none" w:sz="0" w:space="0" w:color="auto"/>
        <w:bottom w:val="none" w:sz="0" w:space="0" w:color="auto"/>
        <w:right w:val="none" w:sz="0" w:space="0" w:color="auto"/>
      </w:divBdr>
    </w:div>
    <w:div w:id="1902980222">
      <w:bodyDiv w:val="1"/>
      <w:marLeft w:val="0"/>
      <w:marRight w:val="0"/>
      <w:marTop w:val="0"/>
      <w:marBottom w:val="0"/>
      <w:divBdr>
        <w:top w:val="none" w:sz="0" w:space="0" w:color="auto"/>
        <w:left w:val="none" w:sz="0" w:space="0" w:color="auto"/>
        <w:bottom w:val="none" w:sz="0" w:space="0" w:color="auto"/>
        <w:right w:val="none" w:sz="0" w:space="0" w:color="auto"/>
      </w:divBdr>
    </w:div>
    <w:div w:id="212607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reginopolis.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3EB52B-7D05-48E2-85C3-9155027A9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56</Pages>
  <Words>12421</Words>
  <Characters>67074</Characters>
  <Application>Microsoft Office Word</Application>
  <DocSecurity>0</DocSecurity>
  <Lines>558</Lines>
  <Paragraphs>158</Paragraphs>
  <ScaleCrop>false</ScaleCrop>
  <HeadingPairs>
    <vt:vector size="2" baseType="variant">
      <vt:variant>
        <vt:lpstr>Título</vt:lpstr>
      </vt:variant>
      <vt:variant>
        <vt:i4>1</vt:i4>
      </vt:variant>
    </vt:vector>
  </HeadingPairs>
  <TitlesOfParts>
    <vt:vector size="1" baseType="lpstr">
      <vt:lpstr>CONTRATO Nº 001/2007</vt:lpstr>
    </vt:vector>
  </TitlesOfParts>
  <Company/>
  <LinksUpToDate>false</LinksUpToDate>
  <CharactersWithSpaces>79337</CharactersWithSpaces>
  <SharedDoc>false</SharedDoc>
  <HLinks>
    <vt:vector size="6" baseType="variant">
      <vt:variant>
        <vt:i4>3080202</vt:i4>
      </vt:variant>
      <vt:variant>
        <vt:i4>0</vt:i4>
      </vt:variant>
      <vt:variant>
        <vt:i4>0</vt:i4>
      </vt:variant>
      <vt:variant>
        <vt:i4>5</vt:i4>
      </vt:variant>
      <vt:variant>
        <vt:lpwstr>mailto:licitacao@guaicara.sp.gov.br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Nº 001/2007</dc:title>
  <dc:creator>Vinicius Neves Iunes</dc:creator>
  <cp:lastModifiedBy>User</cp:lastModifiedBy>
  <cp:revision>3</cp:revision>
  <cp:lastPrinted>2016-05-23T17:37:00Z</cp:lastPrinted>
  <dcterms:created xsi:type="dcterms:W3CDTF">2017-03-20T17:38:00Z</dcterms:created>
  <dcterms:modified xsi:type="dcterms:W3CDTF">2017-03-23T02:56:00Z</dcterms:modified>
</cp:coreProperties>
</file>