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TOMADA DE PREÇOS Nº </w:t>
      </w:r>
      <w:r w:rsidR="00B02008">
        <w:rPr>
          <w:rFonts w:ascii="Book Antiqua" w:hAnsi="Book Antiqua" w:cs="Consolas"/>
          <w:b/>
          <w:sz w:val="28"/>
          <w:szCs w:val="28"/>
        </w:rPr>
        <w:t>004/2019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00B02008">
        <w:rPr>
          <w:rFonts w:ascii="Book Antiqua" w:hAnsi="Book Antiqua" w:cs="Consolas"/>
          <w:b/>
          <w:bCs/>
          <w:sz w:val="28"/>
          <w:szCs w:val="28"/>
        </w:rPr>
        <w:t>008/2019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sidR="00B02008">
        <w:rPr>
          <w:rFonts w:ascii="Book Antiqua" w:hAnsi="Book Antiqua" w:cs="Consolas"/>
          <w:b/>
          <w:bCs/>
          <w:sz w:val="28"/>
          <w:szCs w:val="28"/>
        </w:rPr>
        <w:t>008/2019</w:t>
      </w:r>
    </w:p>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D63362" w:rsidRPr="00B52C31" w:rsidRDefault="00D63362" w:rsidP="00D63362">
      <w:pPr>
        <w:tabs>
          <w:tab w:val="center" w:pos="4677"/>
          <w:tab w:val="left" w:pos="8051"/>
        </w:tabs>
        <w:spacing w:after="0" w:line="240" w:lineRule="auto"/>
        <w:jc w:val="center"/>
        <w:rPr>
          <w:rFonts w:ascii="Book Antiqua" w:hAnsi="Book Antiqua" w:cs="Consolas"/>
          <w:sz w:val="28"/>
          <w:szCs w:val="28"/>
        </w:rPr>
      </w:pPr>
    </w:p>
    <w:p w:rsidR="008F4ED5" w:rsidRPr="00B52C31" w:rsidRDefault="008F4ED5" w:rsidP="008F4ED5">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B52C31">
        <w:rPr>
          <w:rFonts w:ascii="Book Antiqua" w:eastAsia="Times New Roman" w:hAnsi="Book Antiqua" w:cs="Consolas"/>
          <w:sz w:val="28"/>
          <w:szCs w:val="28"/>
        </w:rPr>
        <w:t xml:space="preserve">A presente licitação tem por objeto, a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849436</w:t>
      </w:r>
      <w:r w:rsidRPr="00B52C31">
        <w:rPr>
          <w:rFonts w:ascii="Book Antiqua" w:eastAsia="Times New Roman" w:hAnsi="Book Antiqua" w:cs="Consolas"/>
          <w:sz w:val="28"/>
          <w:szCs w:val="28"/>
        </w:rPr>
        <w:t xml:space="preserve">/2017/MCIDADES/CAIXA, conforme as especificações técnicas contidas no projeto básico e/ou executivo, com todas as suas partes, desenhos, especificações e outros complementos. </w:t>
      </w:r>
    </w:p>
    <w:p w:rsidR="008F4ED5" w:rsidRPr="00B52C31" w:rsidRDefault="008F4ED5" w:rsidP="008F4ED5">
      <w:pPr>
        <w:autoSpaceDE w:val="0"/>
        <w:autoSpaceDN w:val="0"/>
        <w:adjustRightInd w:val="0"/>
        <w:spacing w:after="0" w:line="240" w:lineRule="auto"/>
        <w:jc w:val="both"/>
        <w:rPr>
          <w:rFonts w:ascii="Book Antiqua" w:eastAsia="Times New Roman" w:hAnsi="Book Antiqua" w:cs="Consolas"/>
          <w:b/>
          <w:sz w:val="28"/>
          <w:szCs w:val="28"/>
        </w:rPr>
      </w:pPr>
    </w:p>
    <w:p w:rsidR="008F4ED5" w:rsidRPr="00B52C31" w:rsidRDefault="008F4ED5" w:rsidP="008F4ED5">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08/02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13h30</w:t>
      </w:r>
      <w:r w:rsidRPr="00B52C31">
        <w:rPr>
          <w:rFonts w:ascii="Book Antiqua" w:eastAsia="Times New Roman" w:hAnsi="Book Antiqua" w:cs="Consolas"/>
          <w:b/>
          <w:sz w:val="28"/>
          <w:szCs w:val="28"/>
        </w:rPr>
        <w:t>.</w:t>
      </w:r>
    </w:p>
    <w:p w:rsidR="008F4ED5" w:rsidRPr="00B52C31" w:rsidRDefault="008F4ED5" w:rsidP="008F4ED5">
      <w:pPr>
        <w:autoSpaceDE w:val="0"/>
        <w:autoSpaceDN w:val="0"/>
        <w:adjustRightInd w:val="0"/>
        <w:spacing w:after="0" w:line="240" w:lineRule="auto"/>
        <w:jc w:val="both"/>
        <w:rPr>
          <w:rFonts w:ascii="Book Antiqua" w:eastAsia="Times New Roman" w:hAnsi="Book Antiqua" w:cs="Consolas"/>
          <w:b/>
          <w:bCs/>
          <w:sz w:val="28"/>
          <w:szCs w:val="28"/>
        </w:rPr>
      </w:pPr>
    </w:p>
    <w:p w:rsidR="008F4ED5" w:rsidRPr="00B52C31" w:rsidRDefault="008F4ED5" w:rsidP="008F4ED5">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00</w:t>
      </w:r>
      <w:r>
        <w:rPr>
          <w:rFonts w:ascii="Book Antiqua" w:eastAsia="Times New Roman" w:hAnsi="Book Antiqua" w:cs="Consolas"/>
          <w:sz w:val="28"/>
          <w:szCs w:val="28"/>
        </w:rPr>
        <w:t>8</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8F4ED5" w:rsidRPr="00B52C31" w:rsidRDefault="008F4ED5" w:rsidP="008F4ED5">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8F4ED5" w:rsidP="008F4ED5">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00FA7BC1" w:rsidRPr="00FA7BC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FA7BC1" w:rsidRPr="00FA7BC1">
        <w:rPr>
          <w:rFonts w:ascii="Book Antiqua" w:eastAsia="Calibri" w:hAnsi="Book Antiqua" w:cs="Consolas"/>
          <w:b/>
          <w:sz w:val="28"/>
          <w:szCs w:val="28"/>
        </w:rPr>
        <w:t xml:space="preserve">R$ </w:t>
      </w:r>
      <w:r w:rsidR="00B02008">
        <w:rPr>
          <w:rFonts w:ascii="Book Antiqua" w:eastAsia="Calibri" w:hAnsi="Book Antiqua" w:cs="Consolas"/>
          <w:b/>
          <w:sz w:val="28"/>
          <w:szCs w:val="28"/>
        </w:rPr>
        <w:t>400.078,35</w:t>
      </w:r>
      <w:r w:rsidR="009D133C" w:rsidRPr="009D133C">
        <w:rPr>
          <w:rFonts w:ascii="Book Antiqua" w:eastAsia="Calibri" w:hAnsi="Book Antiqua" w:cs="Consolas"/>
          <w:b/>
          <w:sz w:val="28"/>
          <w:szCs w:val="28"/>
        </w:rPr>
        <w:t xml:space="preserve"> </w:t>
      </w:r>
      <w:r w:rsidR="00FA7BC1" w:rsidRPr="00FA7BC1">
        <w:rPr>
          <w:rFonts w:ascii="Book Antiqua" w:eastAsia="Calibri" w:hAnsi="Book Antiqua" w:cs="Consolas"/>
          <w:b/>
          <w:sz w:val="28"/>
          <w:szCs w:val="28"/>
        </w:rPr>
        <w:t>(</w:t>
      </w:r>
      <w:r w:rsidR="00B02008">
        <w:rPr>
          <w:rFonts w:ascii="Book Antiqua" w:eastAsia="Calibri" w:hAnsi="Book Antiqua" w:cs="Consolas"/>
          <w:b/>
          <w:sz w:val="28"/>
          <w:szCs w:val="28"/>
        </w:rPr>
        <w:t>QUATROCENTOS MIL E SETENTA E OITO REAIS E TRINTA E CINCO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8F4ED5">
        <w:rPr>
          <w:rFonts w:ascii="Book Antiqua" w:hAnsi="Book Antiqua" w:cs="Consolas"/>
          <w:sz w:val="28"/>
          <w:szCs w:val="28"/>
        </w:rPr>
        <w:t xml:space="preserve">federais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8F4ED5">
        <w:rPr>
          <w:rFonts w:ascii="Book Antiqua" w:hAnsi="Book Antiqua" w:cs="Consolas"/>
          <w:sz w:val="28"/>
          <w:szCs w:val="28"/>
        </w:rPr>
        <w:t>s</w:t>
      </w:r>
      <w:r w:rsidR="00A36D57" w:rsidRPr="00FA7BC1">
        <w:rPr>
          <w:rFonts w:ascii="Book Antiqua" w:hAnsi="Book Antiqua" w:cs="Consolas"/>
          <w:sz w:val="28"/>
          <w:szCs w:val="28"/>
        </w:rPr>
        <w:t xml:space="preserve"> Funciona</w:t>
      </w:r>
      <w:r w:rsidR="008F4ED5">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8F4ED5">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B02008">
        <w:rPr>
          <w:rFonts w:ascii="Book Antiqua" w:hAnsi="Book Antiqua" w:cs="Consolas"/>
          <w:b/>
          <w:sz w:val="28"/>
          <w:szCs w:val="28"/>
        </w:rPr>
        <w:t>6</w:t>
      </w:r>
      <w:r w:rsidRPr="00FA7BC1">
        <w:rPr>
          <w:rFonts w:ascii="Book Antiqua" w:hAnsi="Book Antiqua" w:cs="Consolas"/>
          <w:b/>
          <w:sz w:val="28"/>
          <w:szCs w:val="28"/>
        </w:rPr>
        <w:t xml:space="preserve"> – FICHA </w:t>
      </w:r>
      <w:r>
        <w:rPr>
          <w:rFonts w:ascii="Book Antiqua" w:hAnsi="Book Antiqua" w:cs="Consolas"/>
          <w:b/>
          <w:sz w:val="28"/>
          <w:szCs w:val="28"/>
        </w:rPr>
        <w:t>61</w:t>
      </w:r>
      <w:r w:rsidR="00B02008">
        <w:rPr>
          <w:rFonts w:ascii="Book Antiqua" w:hAnsi="Book Antiqua" w:cs="Consolas"/>
          <w:b/>
          <w:sz w:val="28"/>
          <w:szCs w:val="28"/>
        </w:rPr>
        <w:t>6</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Para a habilitação, todos os licitantes deverão ter inscrição válida no Cadastro Único de Fornecedores do Município de Pirajuí ou apresentar a Documentação Completa. A documentação de habilitação deverá ser 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FA7BC1">
        <w:rPr>
          <w:rFonts w:ascii="Book Antiqua" w:hAnsi="Book Antiqua" w:cs="Consolas"/>
          <w:sz w:val="28"/>
          <w:szCs w:val="28"/>
        </w:rPr>
        <w:t xml:space="preserve">execução de </w:t>
      </w:r>
      <w:r w:rsidR="00B02008">
        <w:rPr>
          <w:rFonts w:ascii="Book Antiqua" w:hAnsi="Book Antiqua" w:cs="Consolas"/>
          <w:sz w:val="28"/>
          <w:szCs w:val="28"/>
        </w:rPr>
        <w:t>5.759,36</w:t>
      </w:r>
      <w:r w:rsidR="00B14A9C" w:rsidRPr="00FA7BC1">
        <w:rPr>
          <w:rFonts w:ascii="Book Antiqua" w:hAnsi="Book Antiqua" w:cs="Consolas"/>
          <w:sz w:val="28"/>
          <w:szCs w:val="28"/>
        </w:rPr>
        <w:t xml:space="preserve"> m</w:t>
      </w:r>
      <w:r w:rsidR="00AA580E" w:rsidRPr="00FA7BC1">
        <w:rPr>
          <w:rFonts w:ascii="Book Antiqua" w:hAnsi="Book Antiqua" w:cs="Consolas"/>
          <w:sz w:val="28"/>
          <w:szCs w:val="28"/>
          <w:vertAlign w:val="superscript"/>
        </w:rPr>
        <w:t>2</w:t>
      </w:r>
      <w:r w:rsidR="00B14A9C" w:rsidRPr="00FA7BC1">
        <w:rPr>
          <w:rFonts w:ascii="Book Antiqua" w:hAnsi="Book Antiqua" w:cs="Consolas"/>
          <w:sz w:val="28"/>
          <w:szCs w:val="28"/>
        </w:rPr>
        <w:t xml:space="preserve"> de </w:t>
      </w:r>
      <w:r w:rsidR="00AA580E" w:rsidRPr="00FA7BC1">
        <w:rPr>
          <w:rFonts w:ascii="Book Antiqua" w:eastAsia="Times New Roman" w:hAnsi="Book Antiqua" w:cs="Consolas"/>
          <w:sz w:val="28"/>
          <w:szCs w:val="28"/>
        </w:rPr>
        <w:t>Recapeamento Asfáltico em CBUQ.</w:t>
      </w:r>
    </w:p>
    <w:p w:rsidR="00FA7BC1" w:rsidRP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 xml:space="preserve">Declaração do licitante, elaborada em papel timbrado e subscrita por seu representante legal, de que se encontra em situação regular perante o </w:t>
      </w:r>
      <w:r w:rsidRPr="00FA7BC1">
        <w:rPr>
          <w:rFonts w:ascii="Book Antiqua" w:eastAsia="Calibri" w:hAnsi="Book Antiqua" w:cs="Consolas"/>
          <w:sz w:val="28"/>
          <w:szCs w:val="28"/>
        </w:rPr>
        <w:lastRenderedPageBreak/>
        <w:t>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B02008" w:rsidRDefault="00B02008" w:rsidP="001A4B17">
      <w:pPr>
        <w:autoSpaceDE w:val="0"/>
        <w:autoSpaceDN w:val="0"/>
        <w:adjustRightInd w:val="0"/>
        <w:spacing w:after="0" w:line="240" w:lineRule="auto"/>
        <w:jc w:val="both"/>
        <w:rPr>
          <w:rFonts w:ascii="Book Antiqua" w:eastAsia="Calibri" w:hAnsi="Book Antiqua" w:cs="Consolas"/>
          <w:b/>
          <w:sz w:val="28"/>
          <w:szCs w:val="28"/>
        </w:rPr>
      </w:pPr>
    </w:p>
    <w:p w:rsidR="008F4ED5" w:rsidRDefault="008F4ED5" w:rsidP="001A4B17">
      <w:pPr>
        <w:autoSpaceDE w:val="0"/>
        <w:autoSpaceDN w:val="0"/>
        <w:adjustRightInd w:val="0"/>
        <w:spacing w:after="0" w:line="240" w:lineRule="auto"/>
        <w:jc w:val="both"/>
        <w:rPr>
          <w:rFonts w:ascii="Book Antiqua" w:eastAsia="Calibri" w:hAnsi="Book Antiqua" w:cs="Consolas"/>
          <w:b/>
          <w:sz w:val="28"/>
          <w:szCs w:val="28"/>
        </w:rPr>
      </w:pPr>
    </w:p>
    <w:p w:rsidR="008F4ED5" w:rsidRPr="00FA7BC1" w:rsidRDefault="008F4ED5" w:rsidP="001A4B17">
      <w:pPr>
        <w:autoSpaceDE w:val="0"/>
        <w:autoSpaceDN w:val="0"/>
        <w:adjustRightInd w:val="0"/>
        <w:spacing w:after="0" w:line="240" w:lineRule="auto"/>
        <w:jc w:val="both"/>
        <w:rPr>
          <w:rFonts w:ascii="Book Antiqua" w:eastAsia="Calibri" w:hAnsi="Book Antiqua" w:cs="Consolas"/>
          <w:b/>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B02008">
        <w:rPr>
          <w:rFonts w:ascii="Book Antiqua" w:eastAsia="Calibri" w:hAnsi="Book Antiqua" w:cs="Consolas"/>
          <w:b/>
          <w:sz w:val="28"/>
          <w:szCs w:val="28"/>
        </w:rPr>
        <w:t>004/2019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B02008">
        <w:rPr>
          <w:rFonts w:ascii="Book Antiqua" w:eastAsia="Calibri" w:hAnsi="Book Antiqua" w:cs="Consolas"/>
          <w:b/>
          <w:bCs/>
          <w:sz w:val="28"/>
          <w:szCs w:val="28"/>
        </w:rPr>
        <w:t>008/2019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2F7080">
        <w:rPr>
          <w:rFonts w:ascii="Book Antiqua" w:hAnsi="Book Antiqua"/>
          <w:sz w:val="28"/>
          <w:szCs w:val="28"/>
        </w:rPr>
        <w:t>3</w:t>
      </w:r>
      <w:r w:rsidR="00FA7BC1">
        <w:rPr>
          <w:rFonts w:ascii="Book Antiqua" w:hAnsi="Book Antiqua"/>
          <w:sz w:val="28"/>
          <w:szCs w:val="28"/>
        </w:rPr>
        <w:t xml:space="preserve"> (</w:t>
      </w:r>
      <w:r w:rsidR="002F7080">
        <w:rPr>
          <w:rFonts w:ascii="Book Antiqua" w:hAnsi="Book Antiqua"/>
          <w:sz w:val="28"/>
          <w:szCs w:val="28"/>
        </w:rPr>
        <w:t>três</w:t>
      </w:r>
      <w:r w:rsidR="00FA7BC1">
        <w:rPr>
          <w:rFonts w:ascii="Book Antiqua" w:hAnsi="Book Antiqua"/>
          <w:sz w:val="28"/>
          <w:szCs w:val="28"/>
        </w:rPr>
        <w:t>)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B02008">
        <w:rPr>
          <w:rFonts w:ascii="Book Antiqua" w:eastAsia="Calibri" w:hAnsi="Book Antiqua" w:cs="Consolas"/>
          <w:b/>
          <w:bCs/>
          <w:sz w:val="28"/>
          <w:szCs w:val="28"/>
        </w:rPr>
        <w:t>008/2019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A7BC1">
        <w:rPr>
          <w:rFonts w:ascii="Book Antiqua" w:hAnsi="Book Antiqua" w:cs="Consolas"/>
          <w:sz w:val="28"/>
          <w:szCs w:val="28"/>
        </w:rPr>
        <w:t>seqüência</w:t>
      </w:r>
      <w:r w:rsidRPr="00FA7BC1">
        <w:rPr>
          <w:rFonts w:ascii="Book Antiqua" w:hAnsi="Book Antiqua" w:cs="Consolas"/>
          <w:sz w:val="28"/>
          <w:szCs w:val="28"/>
        </w:rPr>
        <w:t xml:space="preserve">,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8F4ED5" w:rsidRDefault="008F4ED5"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8F4ED5" w:rsidRDefault="008F4ED5"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w:t>
      </w:r>
      <w:r w:rsidR="00F253CB" w:rsidRPr="00FA7BC1">
        <w:rPr>
          <w:rFonts w:ascii="Book Antiqua" w:hAnsi="Book Antiqua" w:cs="Consolas"/>
          <w:sz w:val="28"/>
          <w:szCs w:val="28"/>
        </w:rPr>
        <w:lastRenderedPageBreak/>
        <w:t xml:space="preserve">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350F69" w:rsidRPr="00FA7BC1" w:rsidRDefault="00350F69" w:rsidP="00A36D57">
      <w:pPr>
        <w:spacing w:after="0" w:line="240" w:lineRule="auto"/>
        <w:jc w:val="center"/>
        <w:rPr>
          <w:rFonts w:ascii="Book Antiqua" w:hAnsi="Book Antiqua" w:cs="Consolas"/>
          <w:b/>
          <w:sz w:val="28"/>
          <w:szCs w:val="28"/>
        </w:rPr>
      </w:pPr>
    </w:p>
    <w:p w:rsidR="00454A8A" w:rsidRPr="00FA7BC1" w:rsidRDefault="00481A7A" w:rsidP="00454A8A">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PIRAJUÍ, </w:t>
      </w:r>
      <w:r>
        <w:rPr>
          <w:rFonts w:ascii="Book Antiqua" w:hAnsi="Book Antiqua" w:cs="Consolas"/>
          <w:b/>
          <w:sz w:val="28"/>
          <w:szCs w:val="28"/>
        </w:rPr>
        <w:t>TERÇA-FEIRA</w:t>
      </w:r>
      <w:r w:rsidRPr="00B52C31">
        <w:rPr>
          <w:rFonts w:ascii="Book Antiqua" w:hAnsi="Book Antiqua" w:cs="Consolas"/>
          <w:b/>
          <w:sz w:val="28"/>
          <w:szCs w:val="28"/>
        </w:rPr>
        <w:t xml:space="preserve">, </w:t>
      </w:r>
      <w:r>
        <w:rPr>
          <w:rFonts w:ascii="Book Antiqua" w:hAnsi="Book Antiqua" w:cs="Consolas"/>
          <w:b/>
          <w:sz w:val="28"/>
          <w:szCs w:val="28"/>
        </w:rPr>
        <w:t>22</w:t>
      </w:r>
      <w:r w:rsidRPr="00B52C31">
        <w:rPr>
          <w:rFonts w:ascii="Book Antiqua" w:hAnsi="Book Antiqua" w:cs="Consolas"/>
          <w:b/>
          <w:sz w:val="28"/>
          <w:szCs w:val="28"/>
        </w:rPr>
        <w:t xml:space="preserve"> DE JANEIRO DE </w:t>
      </w:r>
      <w:r>
        <w:rPr>
          <w:rFonts w:ascii="Book Antiqua" w:hAnsi="Book Antiqua" w:cs="Consolas"/>
          <w:b/>
          <w:sz w:val="28"/>
          <w:szCs w:val="28"/>
        </w:rPr>
        <w:t>2019</w:t>
      </w:r>
      <w:bookmarkStart w:id="0" w:name="_GoBack"/>
      <w:bookmarkEnd w:id="0"/>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8F4ED5"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F4ED5" w:rsidRPr="00B52C31">
        <w:rPr>
          <w:rFonts w:ascii="Book Antiqua" w:eastAsia="Times New Roman" w:hAnsi="Book Antiqua" w:cs="Consolas"/>
          <w:sz w:val="28"/>
          <w:szCs w:val="28"/>
        </w:rPr>
        <w:t xml:space="preserve">, conforme Contrato de Repasse nº </w:t>
      </w:r>
      <w:r w:rsidR="008F4ED5">
        <w:rPr>
          <w:rFonts w:ascii="Book Antiqua" w:eastAsia="Times New Roman" w:hAnsi="Book Antiqua" w:cs="Consolas"/>
          <w:sz w:val="28"/>
          <w:szCs w:val="28"/>
        </w:rPr>
        <w:t>849436</w:t>
      </w:r>
      <w:r w:rsidR="008F4ED5"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8F4ED5"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F4ED5" w:rsidRPr="00B52C31">
        <w:rPr>
          <w:rFonts w:ascii="Book Antiqua" w:eastAsia="Times New Roman" w:hAnsi="Book Antiqua" w:cs="Consolas"/>
          <w:sz w:val="28"/>
          <w:szCs w:val="28"/>
        </w:rPr>
        <w:t xml:space="preserve">, conforme Contrato de Repasse nº </w:t>
      </w:r>
      <w:r w:rsidR="008F4ED5">
        <w:rPr>
          <w:rFonts w:ascii="Book Antiqua" w:eastAsia="Times New Roman" w:hAnsi="Book Antiqua" w:cs="Consolas"/>
          <w:sz w:val="28"/>
          <w:szCs w:val="28"/>
        </w:rPr>
        <w:t>849436</w:t>
      </w:r>
      <w:r w:rsidR="008F4ED5"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8F4ED5">
        <w:rPr>
          <w:rFonts w:ascii="Book Antiqua" w:eastAsia="Times New Roman" w:hAnsi="Book Antiqua" w:cs="Consolas"/>
          <w:b/>
          <w:sz w:val="28"/>
          <w:szCs w:val="28"/>
        </w:rPr>
        <w:t xml:space="preserve">TOMADA DE PREÇOS Nº </w:t>
      </w:r>
      <w:r w:rsidR="00B02008" w:rsidRPr="008F4ED5">
        <w:rPr>
          <w:rFonts w:ascii="Book Antiqua" w:eastAsia="Times New Roman" w:hAnsi="Book Antiqua" w:cs="Consolas"/>
          <w:b/>
          <w:sz w:val="28"/>
          <w:szCs w:val="28"/>
        </w:rPr>
        <w:t>004/2019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8F4ED5">
        <w:rPr>
          <w:rFonts w:ascii="Book Antiqua" w:hAnsi="Book Antiqua" w:cs="Consolas"/>
          <w:b/>
          <w:sz w:val="28"/>
          <w:szCs w:val="28"/>
        </w:rPr>
        <w:t xml:space="preserve">TOMADA DE PREÇOS Nº </w:t>
      </w:r>
      <w:r w:rsidR="00B02008" w:rsidRPr="008F4ED5">
        <w:rPr>
          <w:rFonts w:ascii="Book Antiqua" w:hAnsi="Book Antiqua" w:cs="Consolas"/>
          <w:b/>
          <w:sz w:val="28"/>
          <w:szCs w:val="28"/>
        </w:rPr>
        <w:t>004/2019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Pr="00FA7BC1" w:rsidRDefault="00A36D57"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w:t>
      </w:r>
      <w:r w:rsidRPr="00FA7BC1">
        <w:rPr>
          <w:rFonts w:ascii="Book Antiqua" w:hAnsi="Book Antiqua" w:cs="Consolas"/>
          <w:sz w:val="28"/>
          <w:szCs w:val="28"/>
        </w:rPr>
        <w:lastRenderedPageBreak/>
        <w:t xml:space="preserve">(________________). </w:t>
      </w:r>
    </w:p>
    <w:p w:rsidR="00FA7BC1" w:rsidRPr="00FA7BC1" w:rsidRDefault="00FA7BC1"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r w:rsidR="008F4ED5">
        <w:rPr>
          <w:rFonts w:ascii="Book Antiqua" w:hAnsi="Book Antiqua" w:cs="Consolas"/>
          <w:sz w:val="28"/>
          <w:szCs w:val="28"/>
        </w:rPr>
        <w:t>A despesa onerará os recursos orçamentários e financeiros reservados nas Funcionais Programáticas</w:t>
      </w:r>
      <w:r w:rsidRPr="00FA7BC1">
        <w:rPr>
          <w:rFonts w:ascii="Book Antiqua" w:hAnsi="Book Antiqua" w:cs="Consolas"/>
          <w:sz w:val="28"/>
          <w:szCs w:val="28"/>
        </w:rPr>
        <w:t>:</w:t>
      </w:r>
    </w:p>
    <w:p w:rsidR="00C23C7D" w:rsidRPr="00FA7BC1" w:rsidRDefault="00C23C7D" w:rsidP="00C23C7D">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C23C7D" w:rsidRPr="00FA7BC1" w:rsidRDefault="00C23C7D" w:rsidP="00C23C7D">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6</w:t>
      </w:r>
      <w:r w:rsidRPr="00FA7BC1">
        <w:rPr>
          <w:rFonts w:ascii="Book Antiqua" w:hAnsi="Book Antiqua" w:cs="Consolas"/>
          <w:b/>
          <w:sz w:val="28"/>
          <w:szCs w:val="28"/>
        </w:rPr>
        <w:t xml:space="preserve"> – FICHA </w:t>
      </w:r>
      <w:r>
        <w:rPr>
          <w:rFonts w:ascii="Book Antiqua" w:hAnsi="Book Antiqua" w:cs="Consolas"/>
          <w:b/>
          <w:sz w:val="28"/>
          <w:szCs w:val="28"/>
        </w:rPr>
        <w:t>616</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2F7080">
        <w:rPr>
          <w:rFonts w:ascii="Book Antiqua" w:hAnsi="Book Antiqua" w:cs="Consolas"/>
          <w:sz w:val="28"/>
          <w:szCs w:val="28"/>
        </w:rPr>
        <w:t>3</w:t>
      </w:r>
      <w:r w:rsidRPr="00FA7BC1">
        <w:rPr>
          <w:rFonts w:ascii="Book Antiqua" w:hAnsi="Book Antiqua" w:cs="Consolas"/>
          <w:sz w:val="28"/>
          <w:szCs w:val="28"/>
        </w:rPr>
        <w:t xml:space="preserve"> (</w:t>
      </w:r>
      <w:r w:rsidR="002F7080">
        <w:rPr>
          <w:rFonts w:ascii="Book Antiqua" w:hAnsi="Book Antiqua" w:cs="Consolas"/>
          <w:sz w:val="28"/>
          <w:szCs w:val="28"/>
        </w:rPr>
        <w:t>três</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w:t>
      </w:r>
      <w:r w:rsidRPr="00FA7BC1">
        <w:rPr>
          <w:rFonts w:ascii="Book Antiqua" w:hAnsi="Book Antiqua" w:cs="Consolas"/>
          <w:sz w:val="28"/>
          <w:szCs w:val="28"/>
        </w:rPr>
        <w:lastRenderedPageBreak/>
        <w:t>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2F7080">
        <w:rPr>
          <w:rFonts w:ascii="Book Antiqua" w:hAnsi="Book Antiqua" w:cs="Consolas"/>
          <w:sz w:val="28"/>
          <w:szCs w:val="28"/>
        </w:rPr>
        <w:t>3</w:t>
      </w:r>
      <w:r w:rsidR="00FA7BC1" w:rsidRPr="00FA7BC1">
        <w:rPr>
          <w:rFonts w:ascii="Book Antiqua" w:hAnsi="Book Antiqua" w:cs="Consolas"/>
          <w:sz w:val="28"/>
          <w:szCs w:val="28"/>
        </w:rPr>
        <w:t xml:space="preserve"> (</w:t>
      </w:r>
      <w:r w:rsidR="002F7080">
        <w:rPr>
          <w:rFonts w:ascii="Book Antiqua" w:hAnsi="Book Antiqua" w:cs="Consolas"/>
          <w:sz w:val="28"/>
          <w:szCs w:val="28"/>
        </w:rPr>
        <w:t>três</w:t>
      </w:r>
      <w:r w:rsidR="00FA7BC1" w:rsidRPr="00FA7BC1">
        <w:rPr>
          <w:rFonts w:ascii="Book Antiqua" w:hAnsi="Book Antiqua" w:cs="Consolas"/>
          <w:sz w:val="28"/>
          <w:szCs w:val="28"/>
        </w:rPr>
        <w:t>)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Book Antiqua" w:hAnsi="Book Antiqua" w:cs="Consolas"/>
          <w:sz w:val="28"/>
          <w:szCs w:val="28"/>
        </w:rPr>
      </w:pP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Pr="00FA7BC1" w:rsidRDefault="006075CC"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Default="00FA7BC1" w:rsidP="00A36D57">
      <w:pPr>
        <w:widowControl w:val="0"/>
        <w:spacing w:after="0" w:line="240" w:lineRule="auto"/>
        <w:jc w:val="both"/>
        <w:rPr>
          <w:rFonts w:ascii="Book Antiqua" w:hAnsi="Book Antiqua" w:cs="Consolas"/>
          <w:sz w:val="28"/>
          <w:szCs w:val="28"/>
        </w:rPr>
      </w:pPr>
    </w:p>
    <w:p w:rsidR="008F4ED5" w:rsidRPr="00FA7BC1" w:rsidRDefault="008F4ED5"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lastRenderedPageBreak/>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8F4ED5" w:rsidRDefault="008F4ED5"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w:t>
      </w:r>
      <w:r w:rsidR="0062758E" w:rsidRPr="00FA7BC1">
        <w:rPr>
          <w:rFonts w:ascii="Book Antiqua" w:hAnsi="Book Antiqua" w:cs="Consolas"/>
          <w:sz w:val="28"/>
          <w:szCs w:val="28"/>
        </w:rPr>
        <w:lastRenderedPageBreak/>
        <w:t>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Default="00E0510C" w:rsidP="00A36D57">
      <w:pPr>
        <w:widowControl w:val="0"/>
        <w:spacing w:after="0" w:line="240" w:lineRule="auto"/>
        <w:jc w:val="both"/>
        <w:rPr>
          <w:rFonts w:ascii="Book Antiqua" w:hAnsi="Book Antiqua" w:cs="Consolas"/>
          <w:sz w:val="28"/>
          <w:szCs w:val="28"/>
        </w:rPr>
      </w:pPr>
    </w:p>
    <w:p w:rsidR="008F4ED5" w:rsidRPr="00FA7BC1" w:rsidRDefault="008F4ED5"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subseqüente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8F4ED5">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8F4ED5">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B02008">
        <w:rPr>
          <w:rFonts w:ascii="Book Antiqua" w:eastAsia="Times New Roman" w:hAnsi="Book Antiqua" w:cs="Consolas"/>
          <w:sz w:val="28"/>
          <w:szCs w:val="28"/>
        </w:rPr>
        <w:t xml:space="preserve">A presente licitação tem por objeto, a </w:t>
      </w:r>
      <w:r w:rsidR="008F4ED5"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F4ED5" w:rsidRPr="00B52C31">
        <w:rPr>
          <w:rFonts w:ascii="Book Antiqua" w:eastAsia="Times New Roman" w:hAnsi="Book Antiqua" w:cs="Consolas"/>
          <w:sz w:val="28"/>
          <w:szCs w:val="28"/>
        </w:rPr>
        <w:t xml:space="preserve">, conforme Contrato de Repasse nº </w:t>
      </w:r>
      <w:r w:rsidR="008F4ED5">
        <w:rPr>
          <w:rFonts w:ascii="Book Antiqua" w:eastAsia="Times New Roman" w:hAnsi="Book Antiqua" w:cs="Consolas"/>
          <w:sz w:val="28"/>
          <w:szCs w:val="28"/>
        </w:rPr>
        <w:t>849436</w:t>
      </w:r>
      <w:r w:rsidR="008F4ED5"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2F7080">
        <w:rPr>
          <w:rFonts w:ascii="Book Antiqua" w:hAnsi="Book Antiqua" w:cs="Consolas"/>
          <w:sz w:val="28"/>
          <w:szCs w:val="28"/>
        </w:rPr>
        <w:t>3</w:t>
      </w:r>
      <w:r w:rsidR="00FA7BC1" w:rsidRPr="00FA7BC1">
        <w:rPr>
          <w:rFonts w:ascii="Book Antiqua" w:hAnsi="Book Antiqua" w:cs="Consolas"/>
          <w:sz w:val="28"/>
          <w:szCs w:val="28"/>
        </w:rPr>
        <w:t xml:space="preserve"> (</w:t>
      </w:r>
      <w:r w:rsidR="002F7080">
        <w:rPr>
          <w:rFonts w:ascii="Book Antiqua" w:hAnsi="Book Antiqua" w:cs="Consolas"/>
          <w:sz w:val="28"/>
          <w:szCs w:val="28"/>
        </w:rPr>
        <w:t>três</w:t>
      </w:r>
      <w:r w:rsidR="00FA7BC1" w:rsidRPr="00FA7BC1">
        <w:rPr>
          <w:rFonts w:ascii="Book Antiqua" w:hAnsi="Book Antiqua" w:cs="Consolas"/>
          <w:sz w:val="28"/>
          <w:szCs w:val="28"/>
        </w:rPr>
        <w:t>)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B02008">
        <w:rPr>
          <w:rFonts w:ascii="Book Antiqua" w:eastAsia="Calibri" w:hAnsi="Book Antiqua" w:cs="Consolas"/>
          <w:b/>
          <w:sz w:val="28"/>
          <w:szCs w:val="28"/>
        </w:rPr>
        <w:t>004/2019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B02008">
        <w:rPr>
          <w:rFonts w:ascii="Book Antiqua" w:eastAsia="Times New Roman" w:hAnsi="Book Antiqua" w:cs="Consolas"/>
          <w:sz w:val="28"/>
          <w:szCs w:val="28"/>
        </w:rPr>
        <w:t xml:space="preserve">A presente licitação tem por objeto, a </w:t>
      </w:r>
      <w:r w:rsidR="008F4ED5"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F4ED5" w:rsidRPr="00B52C31">
        <w:rPr>
          <w:rFonts w:ascii="Book Antiqua" w:eastAsia="Times New Roman" w:hAnsi="Book Antiqua" w:cs="Consolas"/>
          <w:sz w:val="28"/>
          <w:szCs w:val="28"/>
        </w:rPr>
        <w:t xml:space="preserve">, conforme Contrato de Repasse nº </w:t>
      </w:r>
      <w:r w:rsidR="008F4ED5">
        <w:rPr>
          <w:rFonts w:ascii="Book Antiqua" w:eastAsia="Times New Roman" w:hAnsi="Book Antiqua" w:cs="Consolas"/>
          <w:sz w:val="28"/>
          <w:szCs w:val="28"/>
        </w:rPr>
        <w:t>849436</w:t>
      </w:r>
      <w:r w:rsidR="008F4ED5"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B02008">
        <w:rPr>
          <w:rFonts w:ascii="Book Antiqua" w:eastAsia="Times New Roman" w:hAnsi="Book Antiqua" w:cs="Consolas"/>
          <w:b/>
          <w:sz w:val="28"/>
          <w:szCs w:val="28"/>
        </w:rPr>
        <w:t>004/2019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B02008">
        <w:rPr>
          <w:rFonts w:ascii="Book Antiqua" w:eastAsia="Times New Roman" w:hAnsi="Book Antiqua" w:cs="Consolas"/>
          <w:b/>
          <w:sz w:val="28"/>
          <w:szCs w:val="28"/>
        </w:rPr>
        <w:t>004/2019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21" w:rsidRDefault="00CB2E21" w:rsidP="00BD0343">
      <w:pPr>
        <w:spacing w:after="0" w:line="240" w:lineRule="auto"/>
      </w:pPr>
      <w:r>
        <w:separator/>
      </w:r>
    </w:p>
  </w:endnote>
  <w:endnote w:type="continuationSeparator" w:id="0">
    <w:p w:rsidR="00CB2E21" w:rsidRDefault="00CB2E2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D63362" w:rsidRPr="00C400F9" w:rsidRDefault="00D63362">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481A7A">
          <w:rPr>
            <w:rFonts w:ascii="Book Antiqua" w:hAnsi="Book Antiqua" w:cs="Consolas"/>
            <w:b/>
            <w:noProof/>
            <w:sz w:val="20"/>
            <w:szCs w:val="20"/>
          </w:rPr>
          <w:t>16</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D63362" w:rsidRPr="00043C58" w:rsidRDefault="00D6336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21" w:rsidRDefault="00CB2E21" w:rsidP="00BD0343">
      <w:pPr>
        <w:spacing w:after="0" w:line="240" w:lineRule="auto"/>
      </w:pPr>
      <w:r>
        <w:separator/>
      </w:r>
    </w:p>
  </w:footnote>
  <w:footnote w:type="continuationSeparator" w:id="0">
    <w:p w:rsidR="00CB2E21" w:rsidRDefault="00CB2E2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D63362" w:rsidRPr="0040340E" w:rsidTr="005B4A97">
      <w:trPr>
        <w:trHeight w:val="1689"/>
      </w:trPr>
      <w:tc>
        <w:tcPr>
          <w:tcW w:w="746" w:type="pct"/>
          <w:shd w:val="clear" w:color="auto" w:fill="FFFFFF"/>
        </w:tcPr>
        <w:p w:rsidR="00D63362" w:rsidRPr="00546366" w:rsidRDefault="00CB2E2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0398201" r:id="rId2"/>
            </w:object>
          </w:r>
        </w:p>
      </w:tc>
      <w:tc>
        <w:tcPr>
          <w:tcW w:w="4254" w:type="pct"/>
          <w:shd w:val="clear" w:color="auto" w:fill="FFFFFF"/>
        </w:tcPr>
        <w:p w:rsidR="00D63362" w:rsidRPr="00053EBD" w:rsidRDefault="00D633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63362" w:rsidRPr="00053EBD" w:rsidRDefault="00D633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3362" w:rsidRDefault="00D633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63362" w:rsidRPr="00546366" w:rsidRDefault="00D6336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63362" w:rsidRPr="0040340E" w:rsidRDefault="005463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E4C5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A4"/>
    <w:rsid w:val="00084AFF"/>
    <w:rsid w:val="00084FBA"/>
    <w:rsid w:val="00087F60"/>
    <w:rsid w:val="000A17BA"/>
    <w:rsid w:val="000C2ABE"/>
    <w:rsid w:val="000E068C"/>
    <w:rsid w:val="000E15A3"/>
    <w:rsid w:val="000E58CA"/>
    <w:rsid w:val="000F5301"/>
    <w:rsid w:val="00113BE5"/>
    <w:rsid w:val="00145237"/>
    <w:rsid w:val="00191486"/>
    <w:rsid w:val="00196924"/>
    <w:rsid w:val="001A4B17"/>
    <w:rsid w:val="001D58FD"/>
    <w:rsid w:val="001F0684"/>
    <w:rsid w:val="00210583"/>
    <w:rsid w:val="002110FE"/>
    <w:rsid w:val="00217F03"/>
    <w:rsid w:val="002A46E6"/>
    <w:rsid w:val="002D1D58"/>
    <w:rsid w:val="002F5B4C"/>
    <w:rsid w:val="002F7080"/>
    <w:rsid w:val="00313032"/>
    <w:rsid w:val="00335B7C"/>
    <w:rsid w:val="00340432"/>
    <w:rsid w:val="00340F10"/>
    <w:rsid w:val="00344D69"/>
    <w:rsid w:val="003466D7"/>
    <w:rsid w:val="00350F69"/>
    <w:rsid w:val="003708FF"/>
    <w:rsid w:val="003711D2"/>
    <w:rsid w:val="00396000"/>
    <w:rsid w:val="0039703E"/>
    <w:rsid w:val="003B2A4C"/>
    <w:rsid w:val="003D5F34"/>
    <w:rsid w:val="003E0CF0"/>
    <w:rsid w:val="003E6B1C"/>
    <w:rsid w:val="004069DB"/>
    <w:rsid w:val="00444E2B"/>
    <w:rsid w:val="00447CA2"/>
    <w:rsid w:val="0045218C"/>
    <w:rsid w:val="00454A8A"/>
    <w:rsid w:val="00481A7A"/>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340B9"/>
    <w:rsid w:val="00740FE9"/>
    <w:rsid w:val="007556BF"/>
    <w:rsid w:val="00763C87"/>
    <w:rsid w:val="0078661C"/>
    <w:rsid w:val="007E1613"/>
    <w:rsid w:val="007E309C"/>
    <w:rsid w:val="007E629C"/>
    <w:rsid w:val="008361D4"/>
    <w:rsid w:val="00852D12"/>
    <w:rsid w:val="0085393B"/>
    <w:rsid w:val="008573DE"/>
    <w:rsid w:val="008623E2"/>
    <w:rsid w:val="00872065"/>
    <w:rsid w:val="008870E0"/>
    <w:rsid w:val="008905A5"/>
    <w:rsid w:val="008C438E"/>
    <w:rsid w:val="008E2394"/>
    <w:rsid w:val="008E2F93"/>
    <w:rsid w:val="008F4ED5"/>
    <w:rsid w:val="009021F5"/>
    <w:rsid w:val="009174DB"/>
    <w:rsid w:val="00921F58"/>
    <w:rsid w:val="009264BB"/>
    <w:rsid w:val="00944A3D"/>
    <w:rsid w:val="00960A74"/>
    <w:rsid w:val="00966D14"/>
    <w:rsid w:val="0098466D"/>
    <w:rsid w:val="009B56FD"/>
    <w:rsid w:val="009C2A4B"/>
    <w:rsid w:val="009D133C"/>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92A1A"/>
    <w:rsid w:val="00B9338A"/>
    <w:rsid w:val="00BA60FC"/>
    <w:rsid w:val="00BC794C"/>
    <w:rsid w:val="00BD0343"/>
    <w:rsid w:val="00BD162E"/>
    <w:rsid w:val="00BD3BA9"/>
    <w:rsid w:val="00BE3ED6"/>
    <w:rsid w:val="00C13430"/>
    <w:rsid w:val="00C23C7D"/>
    <w:rsid w:val="00C30AF3"/>
    <w:rsid w:val="00C400F9"/>
    <w:rsid w:val="00C5226D"/>
    <w:rsid w:val="00C625B3"/>
    <w:rsid w:val="00C67B04"/>
    <w:rsid w:val="00CB04E5"/>
    <w:rsid w:val="00CB2E21"/>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5C4B99D-B3A6-430B-8D96-4BBFC580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0A08-02A8-439B-BC07-678131C0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9605</Words>
  <Characters>51870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8</cp:revision>
  <cp:lastPrinted>2017-07-25T18:39:00Z</cp:lastPrinted>
  <dcterms:created xsi:type="dcterms:W3CDTF">2019-01-30T16:12:00Z</dcterms:created>
  <dcterms:modified xsi:type="dcterms:W3CDTF">2019-01-31T02:04:00Z</dcterms:modified>
</cp:coreProperties>
</file>