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7" w:rsidRP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52"/>
          <w:szCs w:val="52"/>
        </w:rPr>
      </w:pPr>
      <w:r w:rsidRPr="00602597">
        <w:rPr>
          <w:rFonts w:ascii="Consolas" w:hAnsi="Consolas" w:cs="Consolas"/>
          <w:b/>
          <w:bCs/>
          <w:sz w:val="52"/>
          <w:szCs w:val="52"/>
        </w:rPr>
        <w:t>CONTRATO Nº 03</w:t>
      </w:r>
      <w:r w:rsidR="007A1148">
        <w:rPr>
          <w:rFonts w:ascii="Consolas" w:hAnsi="Consolas" w:cs="Consolas"/>
          <w:b/>
          <w:bCs/>
          <w:sz w:val="52"/>
          <w:szCs w:val="52"/>
        </w:rPr>
        <w:t>6</w:t>
      </w:r>
      <w:r w:rsidRPr="00602597">
        <w:rPr>
          <w:rFonts w:ascii="Consolas" w:hAnsi="Consolas" w:cs="Consolas"/>
          <w:b/>
          <w:bCs/>
          <w:sz w:val="52"/>
          <w:szCs w:val="52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>MUNICÍPIO DE PIRAJUÍ</w:t>
      </w:r>
      <w:r w:rsidRPr="00674F57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7A1148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7A1148">
        <w:rPr>
          <w:rFonts w:ascii="Consolas" w:hAnsi="Consolas" w:cs="Consolas"/>
          <w:b/>
          <w:sz w:val="28"/>
          <w:szCs w:val="28"/>
        </w:rPr>
        <w:t>CIRUROMA COMERCIAL LTDA. – ME</w:t>
      </w:r>
      <w:r w:rsidRPr="00674F57">
        <w:rPr>
          <w:rFonts w:ascii="Consolas" w:hAnsi="Consolas" w:cs="Consolas"/>
          <w:b/>
          <w:bCs/>
          <w:sz w:val="28"/>
          <w:szCs w:val="28"/>
        </w:rPr>
        <w:t>.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20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18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julho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Rua Abrahão Ramos nº 327 – Centro – CEP 17.190-000 – Pirajuí – SP,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neste ato representado pelo seu Prefeito Municipal, o </w:t>
      </w:r>
      <w:r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7A1148">
        <w:rPr>
          <w:rFonts w:ascii="Consolas" w:hAnsi="Consolas" w:cs="Consolas"/>
          <w:b/>
          <w:sz w:val="28"/>
          <w:szCs w:val="28"/>
        </w:rPr>
        <w:t>CIRUROMA COMERCIAL LTDA. – ME</w:t>
      </w:r>
      <w:r w:rsidR="007A1148" w:rsidRPr="00F30792">
        <w:rPr>
          <w:rFonts w:ascii="Consolas" w:hAnsi="Consolas" w:cs="Consolas"/>
          <w:sz w:val="28"/>
          <w:szCs w:val="28"/>
        </w:rPr>
        <w:t xml:space="preserve">, CNPJ sob nº </w:t>
      </w:r>
      <w:r w:rsidR="007A1148">
        <w:rPr>
          <w:rFonts w:ascii="Consolas" w:hAnsi="Consolas" w:cs="Consolas"/>
          <w:sz w:val="28"/>
          <w:szCs w:val="28"/>
        </w:rPr>
        <w:t>05.515.873/0001-50</w:t>
      </w:r>
      <w:r w:rsidR="007A1148" w:rsidRPr="00F30792">
        <w:rPr>
          <w:rFonts w:ascii="Consolas" w:hAnsi="Consolas" w:cs="Consolas"/>
          <w:sz w:val="28"/>
          <w:szCs w:val="28"/>
        </w:rPr>
        <w:t xml:space="preserve">, com sede na </w:t>
      </w:r>
      <w:r w:rsidR="007A1148">
        <w:rPr>
          <w:rFonts w:ascii="Consolas" w:hAnsi="Consolas" w:cs="Consolas"/>
          <w:sz w:val="28"/>
          <w:szCs w:val="28"/>
        </w:rPr>
        <w:t>Avenida Santa Inês nº 1.076 – Sala 01 – 01A e 04 – Bairro Parque Mandaqui – CEP 02.415-001 – São Paulo – SP</w:t>
      </w:r>
      <w:r w:rsidRPr="00E843FB">
        <w:rPr>
          <w:rFonts w:ascii="Consolas" w:hAnsi="Consolas" w:cs="Consolas"/>
          <w:bCs/>
          <w:sz w:val="28"/>
          <w:szCs w:val="28"/>
        </w:rPr>
        <w:t xml:space="preserve"> – Fone (0XX</w:t>
      </w:r>
      <w:r w:rsidR="007A1148">
        <w:rPr>
          <w:rFonts w:ascii="Consolas" w:hAnsi="Consolas" w:cs="Consolas"/>
          <w:bCs/>
          <w:sz w:val="28"/>
          <w:szCs w:val="28"/>
        </w:rPr>
        <w:t>1</w:t>
      </w:r>
      <w:r>
        <w:rPr>
          <w:rFonts w:ascii="Consolas" w:hAnsi="Consolas" w:cs="Consolas"/>
          <w:bCs/>
          <w:sz w:val="28"/>
          <w:szCs w:val="28"/>
        </w:rPr>
        <w:t>1</w:t>
      </w:r>
      <w:r w:rsidRPr="00E843FB">
        <w:rPr>
          <w:rFonts w:ascii="Consolas" w:hAnsi="Consolas" w:cs="Consolas"/>
          <w:bCs/>
          <w:sz w:val="28"/>
          <w:szCs w:val="28"/>
        </w:rPr>
        <w:t xml:space="preserve">) </w:t>
      </w:r>
      <w:r w:rsidR="007A1148">
        <w:rPr>
          <w:rFonts w:ascii="Consolas" w:hAnsi="Consolas" w:cs="Consolas"/>
          <w:bCs/>
          <w:sz w:val="28"/>
          <w:szCs w:val="28"/>
        </w:rPr>
        <w:t>2729-6657</w:t>
      </w:r>
      <w:r>
        <w:rPr>
          <w:rFonts w:ascii="Consolas" w:hAnsi="Consolas" w:cs="Consolas"/>
          <w:bCs/>
          <w:sz w:val="28"/>
          <w:szCs w:val="28"/>
        </w:rPr>
        <w:t xml:space="preserve"> – E-mail: </w:t>
      </w:r>
      <w:r w:rsidR="007A1148">
        <w:rPr>
          <w:rFonts w:ascii="Consolas" w:hAnsi="Consolas" w:cs="Consolas"/>
          <w:sz w:val="28"/>
          <w:szCs w:val="28"/>
        </w:rPr>
        <w:t>ciruroma@gmail.com</w:t>
      </w:r>
      <w:r w:rsidRPr="00E843FB">
        <w:rPr>
          <w:rFonts w:ascii="Consolas" w:hAnsi="Consolas" w:cs="Consolas"/>
          <w:bCs/>
          <w:sz w:val="28"/>
          <w:szCs w:val="28"/>
        </w:rPr>
        <w:t>, representada pel</w:t>
      </w:r>
      <w:r>
        <w:rPr>
          <w:rFonts w:ascii="Consolas" w:hAnsi="Consolas" w:cs="Consolas"/>
          <w:bCs/>
          <w:sz w:val="28"/>
          <w:szCs w:val="28"/>
        </w:rPr>
        <w:t>o</w:t>
      </w:r>
      <w:r w:rsidRPr="00E843FB">
        <w:rPr>
          <w:rFonts w:ascii="Consolas" w:hAnsi="Consolas" w:cs="Consolas"/>
          <w:bCs/>
          <w:sz w:val="28"/>
          <w:szCs w:val="28"/>
        </w:rPr>
        <w:t xml:space="preserve"> </w:t>
      </w:r>
      <w:r w:rsidR="007A1148" w:rsidRPr="00E843FB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="007A1148">
        <w:rPr>
          <w:rFonts w:ascii="Consolas" w:hAnsi="Consolas" w:cs="Consolas"/>
          <w:b/>
          <w:bCs/>
          <w:sz w:val="28"/>
          <w:szCs w:val="28"/>
        </w:rPr>
        <w:t>RAFAEL HOSNE ARDITO</w:t>
      </w:r>
      <w:r>
        <w:rPr>
          <w:rFonts w:ascii="Consolas" w:hAnsi="Consolas" w:cs="Consolas"/>
          <w:bCs/>
          <w:sz w:val="28"/>
          <w:szCs w:val="28"/>
        </w:rPr>
        <w:t>, brasileiro</w:t>
      </w:r>
      <w:r w:rsidRPr="00E843FB">
        <w:rPr>
          <w:rFonts w:ascii="Consolas" w:hAnsi="Consolas" w:cs="Consolas"/>
          <w:bCs/>
          <w:sz w:val="28"/>
          <w:szCs w:val="28"/>
        </w:rPr>
        <w:t>, casad</w:t>
      </w:r>
      <w:r>
        <w:rPr>
          <w:rFonts w:ascii="Consolas" w:hAnsi="Consolas" w:cs="Consolas"/>
          <w:bCs/>
          <w:sz w:val="28"/>
          <w:szCs w:val="28"/>
        </w:rPr>
        <w:t>o</w:t>
      </w:r>
      <w:r w:rsidRPr="00E843FB">
        <w:rPr>
          <w:rFonts w:ascii="Consolas" w:hAnsi="Consolas" w:cs="Consolas"/>
          <w:bCs/>
          <w:sz w:val="28"/>
          <w:szCs w:val="28"/>
        </w:rPr>
        <w:t>, empresári</w:t>
      </w:r>
      <w:r>
        <w:rPr>
          <w:rFonts w:ascii="Consolas" w:hAnsi="Consolas" w:cs="Consolas"/>
          <w:bCs/>
          <w:sz w:val="28"/>
          <w:szCs w:val="28"/>
        </w:rPr>
        <w:t>o, portador</w:t>
      </w:r>
      <w:r w:rsidRPr="00E843FB">
        <w:rPr>
          <w:rFonts w:ascii="Consolas" w:hAnsi="Consolas" w:cs="Consolas"/>
          <w:bCs/>
          <w:sz w:val="28"/>
          <w:szCs w:val="28"/>
        </w:rPr>
        <w:t xml:space="preserve"> da cédula de identidade RG nº </w:t>
      </w:r>
      <w:r w:rsidR="007A1148">
        <w:rPr>
          <w:rFonts w:ascii="Consolas" w:hAnsi="Consolas" w:cs="Consolas"/>
          <w:bCs/>
          <w:sz w:val="28"/>
          <w:szCs w:val="28"/>
        </w:rPr>
        <w:t>26.591.783-9</w:t>
      </w:r>
      <w:r w:rsidRPr="00E843FB">
        <w:rPr>
          <w:rFonts w:ascii="Consolas" w:hAnsi="Consolas" w:cs="Consolas"/>
          <w:bCs/>
          <w:sz w:val="28"/>
          <w:szCs w:val="28"/>
        </w:rPr>
        <w:t xml:space="preserve">, emitido pela Secretaria da Segurança Pública do Estado </w:t>
      </w:r>
      <w:r w:rsidR="007A1148">
        <w:rPr>
          <w:rFonts w:ascii="Consolas" w:hAnsi="Consolas" w:cs="Consolas"/>
          <w:bCs/>
          <w:sz w:val="28"/>
          <w:szCs w:val="28"/>
        </w:rPr>
        <w:t>de São Paulo</w:t>
      </w:r>
      <w:r w:rsidRPr="00E843FB">
        <w:rPr>
          <w:rFonts w:ascii="Consolas" w:hAnsi="Consolas" w:cs="Consolas"/>
          <w:bCs/>
          <w:sz w:val="28"/>
          <w:szCs w:val="28"/>
        </w:rPr>
        <w:t xml:space="preserve"> e, devidamente Inscrit</w:t>
      </w:r>
      <w:r>
        <w:rPr>
          <w:rFonts w:ascii="Consolas" w:hAnsi="Consolas" w:cs="Consolas"/>
          <w:bCs/>
          <w:sz w:val="28"/>
          <w:szCs w:val="28"/>
        </w:rPr>
        <w:t>o</w:t>
      </w:r>
      <w:r w:rsidRPr="00E843FB">
        <w:rPr>
          <w:rFonts w:ascii="Consolas" w:hAnsi="Consolas" w:cs="Consolas"/>
          <w:bCs/>
          <w:sz w:val="28"/>
          <w:szCs w:val="28"/>
        </w:rPr>
        <w:t xml:space="preserve"> no Cadastro das Pessoas Físicas do Ministério da Fazenda sob o nº </w:t>
      </w:r>
      <w:r w:rsidR="007A1148">
        <w:rPr>
          <w:rFonts w:ascii="Consolas" w:hAnsi="Consolas" w:cs="Consolas"/>
          <w:bCs/>
          <w:sz w:val="28"/>
          <w:szCs w:val="28"/>
        </w:rPr>
        <w:t>301.239.808-28</w:t>
      </w:r>
      <w:r w:rsidRPr="00674F57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73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605"/>
        <w:gridCol w:w="957"/>
        <w:gridCol w:w="4225"/>
        <w:gridCol w:w="973"/>
        <w:gridCol w:w="957"/>
        <w:gridCol w:w="973"/>
        <w:gridCol w:w="1099"/>
      </w:tblGrid>
      <w:tr w:rsidR="00162DFC" w:rsidRPr="00B705BC" w:rsidTr="00162DFC">
        <w:trPr>
          <w:jc w:val="center"/>
        </w:trPr>
        <w:tc>
          <w:tcPr>
            <w:tcW w:w="605" w:type="dxa"/>
            <w:shd w:val="clear" w:color="auto" w:fill="DDD9C3" w:themeFill="background2" w:themeFillShade="E6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56" w:type="dxa"/>
            <w:shd w:val="clear" w:color="auto" w:fill="DDD9C3" w:themeFill="background2" w:themeFillShade="E6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6637</w:t>
            </w:r>
          </w:p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222" w:type="dxa"/>
            <w:shd w:val="clear" w:color="auto" w:fill="DDD9C3" w:themeFill="background2" w:themeFillShade="E6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CIRUROMA COMERCIAL LTDA - ME</w:t>
            </w:r>
          </w:p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Descrição do Produto/Serviço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56" w:type="dxa"/>
            <w:shd w:val="clear" w:color="auto" w:fill="DDD9C3" w:themeFill="background2" w:themeFillShade="E6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098" w:type="dxa"/>
            <w:shd w:val="clear" w:color="auto" w:fill="DDD9C3" w:themeFill="background2" w:themeFillShade="E6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Valor Total</w:t>
            </w:r>
          </w:p>
        </w:tc>
      </w:tr>
      <w:tr w:rsidR="00162DFC" w:rsidRPr="00B705BC" w:rsidTr="00162DFC">
        <w:trPr>
          <w:jc w:val="center"/>
        </w:trPr>
        <w:tc>
          <w:tcPr>
            <w:tcW w:w="605" w:type="dxa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6" w:type="dxa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012.120.075</w:t>
            </w:r>
          </w:p>
        </w:tc>
        <w:tc>
          <w:tcPr>
            <w:tcW w:w="4222" w:type="dxa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CAMA HOSPITALAR TIPO FAWLER ELÉTRICA</w:t>
            </w:r>
          </w:p>
        </w:tc>
        <w:tc>
          <w:tcPr>
            <w:tcW w:w="972" w:type="dxa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6" w:type="dxa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2" w:type="dxa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7.150,00</w:t>
            </w:r>
          </w:p>
        </w:tc>
        <w:tc>
          <w:tcPr>
            <w:tcW w:w="1098" w:type="dxa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14.300,00</w:t>
            </w:r>
          </w:p>
        </w:tc>
      </w:tr>
      <w:tr w:rsidR="00162DFC" w:rsidRPr="00B705BC" w:rsidTr="00162DFC">
        <w:trPr>
          <w:jc w:val="center"/>
        </w:trPr>
        <w:tc>
          <w:tcPr>
            <w:tcW w:w="8683" w:type="dxa"/>
            <w:gridSpan w:val="6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Total do Proponente</w:t>
            </w:r>
          </w:p>
        </w:tc>
        <w:tc>
          <w:tcPr>
            <w:tcW w:w="1098" w:type="dxa"/>
          </w:tcPr>
          <w:p w:rsidR="00162DFC" w:rsidRPr="00162DFC" w:rsidRDefault="00162DFC" w:rsidP="00162DF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62DFC">
              <w:rPr>
                <w:rFonts w:ascii="Consolas" w:hAnsi="Consolas" w:cs="Consolas"/>
                <w:sz w:val="20"/>
                <w:szCs w:val="20"/>
                <w:lang w:eastAsia="pt-BR"/>
              </w:rPr>
              <w:t>14.300,00</w:t>
            </w:r>
          </w:p>
        </w:tc>
      </w:tr>
    </w:tbl>
    <w:p w:rsidR="00162DFC" w:rsidRPr="00674F57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23 de abril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60B4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DOS PRAZOS DE VIGÊNCIA</w:t>
      </w:r>
      <w:r w:rsidRPr="001F60B4">
        <w:rPr>
          <w:rFonts w:ascii="Consolas" w:hAnsi="Consolas" w:cs="Consolas"/>
          <w:b/>
          <w:sz w:val="28"/>
          <w:szCs w:val="28"/>
        </w:rPr>
        <w:t xml:space="preserve"> DE ENTREGA DO 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2.1 – </w:t>
      </w:r>
      <w:r w:rsidRPr="00674F57">
        <w:rPr>
          <w:rFonts w:ascii="Consolas" w:hAnsi="Consolas" w:cs="Consolas"/>
          <w:sz w:val="28"/>
          <w:szCs w:val="28"/>
        </w:rPr>
        <w:t xml:space="preserve">A vigência deste contrato inicia-se com a publicação de seu extrato no Diário Oficial do Município de Pirajuí, </w:t>
      </w:r>
      <w:r w:rsidRPr="006B026C">
        <w:rPr>
          <w:rFonts w:ascii="Consolas" w:hAnsi="Consolas" w:cs="Consolas"/>
          <w:sz w:val="28"/>
          <w:szCs w:val="28"/>
        </w:rPr>
        <w:t xml:space="preserve">encerrando-se na data de </w:t>
      </w:r>
      <w:r>
        <w:rPr>
          <w:rFonts w:ascii="Consolas" w:hAnsi="Consolas" w:cs="Consolas"/>
          <w:sz w:val="28"/>
          <w:szCs w:val="28"/>
        </w:rPr>
        <w:t>31</w:t>
      </w:r>
      <w:r w:rsidRPr="006B026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dezembro</w:t>
      </w:r>
      <w:r w:rsidRPr="006B026C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674F57">
        <w:rPr>
          <w:rFonts w:ascii="Consolas" w:hAnsi="Consolas" w:cs="Consolas"/>
          <w:b/>
          <w:sz w:val="28"/>
          <w:szCs w:val="28"/>
        </w:rPr>
        <w:t>2.2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bookmarkEnd w:id="0"/>
      <w:r w:rsidRPr="00674F57">
        <w:rPr>
          <w:rFonts w:ascii="Consolas" w:hAnsi="Consolas" w:cs="Consolas"/>
          <w:sz w:val="28"/>
          <w:szCs w:val="28"/>
        </w:rPr>
        <w:t xml:space="preserve">O prazo de entrega será de até </w:t>
      </w:r>
      <w:r>
        <w:rPr>
          <w:rFonts w:ascii="Consolas" w:hAnsi="Consolas" w:cs="Consolas"/>
          <w:sz w:val="28"/>
          <w:szCs w:val="28"/>
        </w:rPr>
        <w:t>10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dez</w:t>
      </w:r>
      <w:r w:rsidRPr="00674F57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 –</w:t>
      </w:r>
      <w:r w:rsidRPr="00674F57">
        <w:rPr>
          <w:rFonts w:ascii="Consolas" w:hAnsi="Consolas" w:cs="Consolas"/>
          <w:sz w:val="28"/>
          <w:szCs w:val="28"/>
        </w:rPr>
        <w:t xml:space="preserve"> Correrão por conta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Município de Pirajuí.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 –</w:t>
      </w:r>
      <w:r w:rsidRPr="00674F57">
        <w:rPr>
          <w:rFonts w:ascii="Consolas" w:hAnsi="Consolas" w:cs="Consolas"/>
          <w:sz w:val="28"/>
          <w:szCs w:val="28"/>
        </w:rPr>
        <w:t xml:space="preserve">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ser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recebido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3.3.1 –</w:t>
      </w:r>
      <w:r>
        <w:rPr>
          <w:rFonts w:ascii="Consolas" w:hAnsi="Consolas" w:cs="Consolas"/>
          <w:sz w:val="28"/>
          <w:szCs w:val="28"/>
        </w:rPr>
        <w:t xml:space="preserve"> Os equipamentos e materiais permanentes entregues</w:t>
      </w:r>
      <w:r w:rsidRPr="00674F57">
        <w:rPr>
          <w:rFonts w:ascii="Consolas" w:hAnsi="Consolas" w:cs="Consolas"/>
          <w:sz w:val="28"/>
          <w:szCs w:val="28"/>
        </w:rPr>
        <w:t xml:space="preserve"> dever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ser novo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e, quando for o caso, acondicionado em suas embalagens originais;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3.3.2 –</w:t>
      </w:r>
      <w:r w:rsidRPr="00674F57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 –</w:t>
      </w:r>
      <w:r w:rsidRPr="00674F57">
        <w:rPr>
          <w:rFonts w:ascii="Consolas" w:hAnsi="Consolas" w:cs="Consolas"/>
          <w:sz w:val="28"/>
          <w:szCs w:val="28"/>
        </w:rPr>
        <w:t xml:space="preserve"> Constatadas irregularidades no objeto, este Município de Pirajuí, sem prejuízo das penalidades cabíveis, poderá: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3.4.1 –</w:t>
      </w:r>
      <w:r w:rsidRPr="00674F57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3.4.2 –</w:t>
      </w:r>
      <w:r w:rsidRPr="00674F57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3.5 –</w:t>
      </w:r>
      <w:r w:rsidRPr="00674F57">
        <w:rPr>
          <w:rFonts w:ascii="Consolas" w:hAnsi="Consolas" w:cs="Consolas"/>
          <w:sz w:val="28"/>
          <w:szCs w:val="28"/>
        </w:rPr>
        <w:t xml:space="preserve"> As irregularidades deverão ser sanadas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no prazo de até 05 (cinco) dias corridos da data do recebimento por ela da notificação por escrito, mantido o preço inicialmente ofertado.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3.6 –</w:t>
      </w:r>
      <w:r w:rsidRPr="00674F57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entregue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7A1148" w:rsidRPr="007A1148">
        <w:rPr>
          <w:rFonts w:ascii="Consolas" w:hAnsi="Consolas" w:cs="Consolas"/>
          <w:b/>
          <w:sz w:val="28"/>
          <w:szCs w:val="28"/>
        </w:rPr>
        <w:t>R$ 14.300,00 (QUATORZE MIL E TREZENTOS REAIS)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602597" w:rsidRPr="00674F57" w:rsidRDefault="00602597" w:rsidP="00602597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607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5.1 –</w:t>
      </w:r>
      <w:r w:rsidRPr="00674F57">
        <w:rPr>
          <w:rFonts w:ascii="Consolas" w:hAnsi="Consolas" w:cs="Consolas"/>
          <w:sz w:val="28"/>
          <w:szCs w:val="28"/>
        </w:rPr>
        <w:t xml:space="preserve"> Fornecer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bCs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5.2 –</w:t>
      </w:r>
      <w:r w:rsidRPr="00674F57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</w:t>
      </w:r>
      <w:r>
        <w:rPr>
          <w:rFonts w:ascii="Consolas" w:hAnsi="Consolas" w:cs="Consolas"/>
          <w:sz w:val="28"/>
          <w:szCs w:val="28"/>
        </w:rPr>
        <w:t xml:space="preserve">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, conforme a cláusula 3.4.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5.3 –</w:t>
      </w:r>
      <w:r w:rsidRPr="00674F57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5.4 –</w:t>
      </w:r>
      <w:r w:rsidRPr="00674F57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5.5 –</w:t>
      </w:r>
      <w:r w:rsidRPr="00674F57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5.6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5.7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5.8 –</w:t>
      </w:r>
      <w:r w:rsidRPr="00674F57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; </w:t>
      </w: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9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252682">
        <w:rPr>
          <w:rFonts w:ascii="Consolas" w:hAnsi="Consolas" w:cs="Consolas"/>
          <w:b/>
          <w:sz w:val="28"/>
          <w:szCs w:val="28"/>
        </w:rPr>
        <w:t>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252682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DENISE GUIMARÃES DE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Pr="00674F57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7A1148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CIRUROMA COMERCIAL LTDA. – ME</w:t>
      </w:r>
    </w:p>
    <w:p w:rsidR="00602597" w:rsidRDefault="00ED60D3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RAFAEL HOSNE ARDITO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/>
      </w:tblPr>
      <w:tblGrid>
        <w:gridCol w:w="5162"/>
        <w:gridCol w:w="4961"/>
      </w:tblGrid>
      <w:tr w:rsidR="00602597" w:rsidRPr="0084237E" w:rsidTr="00C015AD">
        <w:trPr>
          <w:jc w:val="center"/>
        </w:trPr>
        <w:tc>
          <w:tcPr>
            <w:tcW w:w="5162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602597" w:rsidRDefault="00602597" w:rsidP="00602597">
      <w:pPr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3D537E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602597" w:rsidRPr="003D537E" w:rsidRDefault="00602597" w:rsidP="00602597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58" w:type="dxa"/>
        <w:jc w:val="center"/>
        <w:tblInd w:w="-55" w:type="dxa"/>
        <w:tblCellMar>
          <w:left w:w="70" w:type="dxa"/>
          <w:right w:w="70" w:type="dxa"/>
        </w:tblCellMar>
        <w:tblLook w:val="0000"/>
      </w:tblPr>
      <w:tblGrid>
        <w:gridCol w:w="5172"/>
        <w:gridCol w:w="4886"/>
      </w:tblGrid>
      <w:tr w:rsidR="00602597" w:rsidRPr="003D537E" w:rsidTr="000911DA">
        <w:trPr>
          <w:trHeight w:val="643"/>
          <w:jc w:val="center"/>
        </w:trPr>
        <w:tc>
          <w:tcPr>
            <w:tcW w:w="5172" w:type="dxa"/>
          </w:tcPr>
          <w:p w:rsidR="000911DA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  <w:r w:rsidRPr="008A3156">
              <w:rPr>
                <w:rFonts w:ascii="Consolas" w:hAnsi="Consolas" w:cs="Consolas"/>
                <w:sz w:val="28"/>
                <w:szCs w:val="28"/>
              </w:rPr>
              <w:t xml:space="preserve">, </w:t>
            </w:r>
            <w:r>
              <w:rPr>
                <w:rFonts w:ascii="Consolas" w:hAnsi="Consolas" w:cs="Consolas"/>
                <w:sz w:val="28"/>
                <w:szCs w:val="28"/>
              </w:rPr>
              <w:t>Diretora de Divisão de Saúde</w:t>
            </w:r>
          </w:p>
          <w:p w:rsidR="00602597" w:rsidRPr="00D9145B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886" w:type="dxa"/>
          </w:tcPr>
          <w:p w:rsidR="00602597" w:rsidRPr="003D537E" w:rsidRDefault="00602597" w:rsidP="00C015A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602597" w:rsidRPr="00894A17" w:rsidRDefault="00602597" w:rsidP="00602597">
      <w:pPr>
        <w:pStyle w:val="Ttulo01"/>
        <w:ind w:right="-1"/>
        <w:rPr>
          <w:rFonts w:ascii="Consolas" w:hAnsi="Consolas" w:cs="Consolas"/>
          <w:sz w:val="32"/>
          <w:szCs w:val="28"/>
        </w:rPr>
      </w:pPr>
      <w:r w:rsidRPr="00894A17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7A1148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7A1148">
        <w:rPr>
          <w:rFonts w:ascii="Consolas" w:hAnsi="Consolas" w:cs="Consolas"/>
          <w:b/>
          <w:sz w:val="28"/>
          <w:szCs w:val="28"/>
        </w:rPr>
        <w:t>CIRUROMA COMERCIAL LTDA. – ME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3</w:t>
      </w:r>
      <w:r w:rsidR="007A1148">
        <w:rPr>
          <w:rFonts w:ascii="Consolas" w:hAnsi="Consolas" w:cs="Consolas"/>
          <w:sz w:val="28"/>
          <w:szCs w:val="28"/>
        </w:rPr>
        <w:t>6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0911DA"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Zuquieri / 209.005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c)</w:t>
      </w:r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d)</w:t>
      </w:r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60259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b)</w:t>
      </w:r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0911DA" w:rsidRDefault="000911DA" w:rsidP="00602597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602597" w:rsidRPr="00EA50B1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18 DE JULHO DE 2018.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0911DA" w:rsidRPr="00E13861" w:rsidRDefault="000911DA" w:rsidP="000911DA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da Divisão de Saúde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Avenida dos Cardeais nº 161 – Bairro Pirajuí C – CEP 16.600-000 – Pirajuí – SP.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7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602597" w:rsidRPr="003B11F9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8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9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0911DA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0911DA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0911DA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Nome: </w:t>
      </w:r>
      <w:r w:rsidR="00ED60D3" w:rsidRPr="00ED60D3">
        <w:rPr>
          <w:rFonts w:ascii="Consolas" w:hAnsi="Consolas" w:cs="Consolas"/>
          <w:bCs/>
          <w:sz w:val="28"/>
          <w:szCs w:val="28"/>
        </w:rPr>
        <w:t>Rafael Hosne Ardito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>Cargo: Empresário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CPF: </w:t>
      </w:r>
      <w:r w:rsidR="00ED60D3">
        <w:rPr>
          <w:rFonts w:ascii="Consolas" w:hAnsi="Consolas" w:cs="Consolas"/>
          <w:bCs/>
          <w:sz w:val="28"/>
          <w:szCs w:val="28"/>
        </w:rPr>
        <w:t>301.239.808-28</w:t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  <w:t xml:space="preserve">RG: </w:t>
      </w:r>
      <w:r w:rsidR="00ED60D3">
        <w:rPr>
          <w:rFonts w:ascii="Consolas" w:hAnsi="Consolas" w:cs="Consolas"/>
          <w:bCs/>
          <w:sz w:val="28"/>
          <w:szCs w:val="28"/>
        </w:rPr>
        <w:t>26.591.783-9</w:t>
      </w:r>
      <w:r w:rsidRPr="00DC0F35">
        <w:rPr>
          <w:rFonts w:ascii="Consolas" w:hAnsi="Consolas" w:cs="Consolas"/>
          <w:sz w:val="28"/>
          <w:szCs w:val="28"/>
        </w:rPr>
        <w:t xml:space="preserve"> SSP/</w:t>
      </w:r>
      <w:r w:rsidR="00ED60D3">
        <w:rPr>
          <w:rFonts w:ascii="Consolas" w:hAnsi="Consolas" w:cs="Consolas"/>
          <w:sz w:val="28"/>
          <w:szCs w:val="28"/>
        </w:rPr>
        <w:t>SP</w:t>
      </w:r>
    </w:p>
    <w:p w:rsidR="00602597" w:rsidRPr="00ED60D3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D60D3">
        <w:rPr>
          <w:rFonts w:ascii="Consolas" w:hAnsi="Consolas" w:cs="Consolas"/>
          <w:sz w:val="28"/>
          <w:szCs w:val="28"/>
        </w:rPr>
        <w:t xml:space="preserve">Data de Nascimento: </w:t>
      </w:r>
      <w:r w:rsidR="00ED60D3" w:rsidRPr="00ED60D3">
        <w:rPr>
          <w:rFonts w:ascii="Consolas" w:hAnsi="Consolas" w:cs="Consolas"/>
          <w:sz w:val="28"/>
          <w:szCs w:val="28"/>
        </w:rPr>
        <w:t>17/08/1982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ED60D3">
        <w:rPr>
          <w:rFonts w:ascii="Consolas" w:eastAsia="Times New Roman" w:hAnsi="Consolas" w:cs="Consolas"/>
          <w:sz w:val="28"/>
          <w:szCs w:val="28"/>
          <w:lang w:eastAsia="pt-BR"/>
        </w:rPr>
        <w:t>Rua Fulvio Morganti nº 639 – Bairro Jardim Paraíso – CEP 02.417-170 – São Paulo – SP.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institucional: </w:t>
      </w:r>
      <w:r w:rsidR="00ED60D3">
        <w:rPr>
          <w:rFonts w:ascii="Consolas" w:hAnsi="Consolas" w:cs="Consolas"/>
          <w:sz w:val="28"/>
          <w:szCs w:val="28"/>
        </w:rPr>
        <w:t>ciruroma@gmail.com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pessoal: </w:t>
      </w:r>
      <w:r w:rsidR="00ED60D3">
        <w:rPr>
          <w:rFonts w:ascii="Consolas" w:hAnsi="Consolas" w:cs="Consolas"/>
          <w:sz w:val="28"/>
          <w:szCs w:val="28"/>
        </w:rPr>
        <w:t>ciruroma@gmail.com</w:t>
      </w:r>
    </w:p>
    <w:p w:rsidR="00602597" w:rsidRPr="007D06EA" w:rsidRDefault="00602597" w:rsidP="00602597">
      <w:pPr>
        <w:ind w:left="0" w:right="-1"/>
        <w:rPr>
          <w:rFonts w:ascii="Consolas" w:hAnsi="Consolas" w:cs="Consolas"/>
          <w:color w:val="FF0000"/>
          <w:sz w:val="28"/>
          <w:szCs w:val="28"/>
        </w:rPr>
      </w:pPr>
      <w:r w:rsidRPr="007D06EA">
        <w:rPr>
          <w:rFonts w:ascii="Consolas" w:hAnsi="Consolas" w:cs="Consolas"/>
          <w:sz w:val="28"/>
          <w:szCs w:val="28"/>
        </w:rPr>
        <w:t xml:space="preserve">Telefone: </w:t>
      </w:r>
      <w:r w:rsidR="00ED60D3" w:rsidRPr="00E843FB">
        <w:rPr>
          <w:rFonts w:ascii="Consolas" w:hAnsi="Consolas" w:cs="Consolas"/>
          <w:bCs/>
          <w:sz w:val="28"/>
          <w:szCs w:val="28"/>
        </w:rPr>
        <w:t>(0XX</w:t>
      </w:r>
      <w:r w:rsidR="00ED60D3">
        <w:rPr>
          <w:rFonts w:ascii="Consolas" w:hAnsi="Consolas" w:cs="Consolas"/>
          <w:bCs/>
          <w:sz w:val="28"/>
          <w:szCs w:val="28"/>
        </w:rPr>
        <w:t>11</w:t>
      </w:r>
      <w:r w:rsidR="00ED60D3" w:rsidRPr="00E843FB">
        <w:rPr>
          <w:rFonts w:ascii="Consolas" w:hAnsi="Consolas" w:cs="Consolas"/>
          <w:bCs/>
          <w:sz w:val="28"/>
          <w:szCs w:val="28"/>
        </w:rPr>
        <w:t xml:space="preserve">) </w:t>
      </w:r>
      <w:r w:rsidR="00ED60D3">
        <w:rPr>
          <w:rFonts w:ascii="Consolas" w:hAnsi="Consolas" w:cs="Consolas"/>
          <w:bCs/>
          <w:sz w:val="28"/>
          <w:szCs w:val="28"/>
        </w:rPr>
        <w:t>2729-6657</w:t>
      </w: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602597" w:rsidRPr="00674F57" w:rsidSect="00EB5DA3">
      <w:headerReference w:type="default" r:id="rId10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1C" w:rsidRDefault="00942C1C" w:rsidP="006E2D7A">
      <w:r>
        <w:separator/>
      </w:r>
    </w:p>
  </w:endnote>
  <w:endnote w:type="continuationSeparator" w:id="1">
    <w:p w:rsidR="00942C1C" w:rsidRDefault="00942C1C" w:rsidP="006E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1C" w:rsidRDefault="00942C1C" w:rsidP="006E2D7A">
      <w:r>
        <w:separator/>
      </w:r>
    </w:p>
  </w:footnote>
  <w:footnote w:type="continuationSeparator" w:id="1">
    <w:p w:rsidR="00942C1C" w:rsidRDefault="00942C1C" w:rsidP="006E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730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730CF" w:rsidRPr="00053EBD" w:rsidRDefault="00400AA2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400AA2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5.9pt;margin-top:84.55pt;width:494.2pt;height:.05pt;z-index:251660288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8.45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93848746" r:id="rId2"/>
            </w:pict>
          </w:r>
        </w:p>
      </w:tc>
      <w:tc>
        <w:tcPr>
          <w:tcW w:w="4134" w:type="pct"/>
          <w:shd w:val="clear" w:color="auto" w:fill="FFFFFF"/>
        </w:tcPr>
        <w:p w:rsidR="009730CF" w:rsidRPr="00053EBD" w:rsidRDefault="000911DA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730CF" w:rsidRPr="00053EBD" w:rsidRDefault="000911D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730CF" w:rsidRPr="00534669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730CF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730CF" w:rsidRPr="00534669" w:rsidRDefault="00942C1C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730CF" w:rsidRPr="00BF5471" w:rsidRDefault="000911DA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2597"/>
    <w:rsid w:val="000911DA"/>
    <w:rsid w:val="000F18E7"/>
    <w:rsid w:val="00162DFC"/>
    <w:rsid w:val="00400AA2"/>
    <w:rsid w:val="005578F4"/>
    <w:rsid w:val="00602597"/>
    <w:rsid w:val="00685EE6"/>
    <w:rsid w:val="006E2D7A"/>
    <w:rsid w:val="007A1148"/>
    <w:rsid w:val="00942C1C"/>
    <w:rsid w:val="00B65B2C"/>
    <w:rsid w:val="00BC6AE2"/>
    <w:rsid w:val="00CA75D3"/>
    <w:rsid w:val="00DE3DAE"/>
    <w:rsid w:val="00E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97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2597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02597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2597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02597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02597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02597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02597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02597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02597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597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02597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02597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0259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02597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0259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02597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02597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02597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6025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602597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60259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02597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0259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02597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02597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602597"/>
    <w:rPr>
      <w:vertAlign w:val="superscript"/>
    </w:rPr>
  </w:style>
  <w:style w:type="paragraph" w:customStyle="1" w:styleId="BodyText25">
    <w:name w:val="Body Text 25"/>
    <w:basedOn w:val="Normal"/>
    <w:uiPriority w:val="99"/>
    <w:rsid w:val="00602597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602597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02597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02597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2597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602597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02597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02597"/>
  </w:style>
  <w:style w:type="paragraph" w:styleId="Ttulo">
    <w:name w:val="Title"/>
    <w:basedOn w:val="Normal"/>
    <w:link w:val="TtuloChar"/>
    <w:qFormat/>
    <w:rsid w:val="00602597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02597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02597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60259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602597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602597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02597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60259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602597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602597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602597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02597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602597"/>
    <w:rPr>
      <w:sz w:val="15"/>
      <w:szCs w:val="15"/>
    </w:rPr>
  </w:style>
  <w:style w:type="paragraph" w:customStyle="1" w:styleId="Corpo">
    <w:name w:val="Corpo"/>
    <w:rsid w:val="00602597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02597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02597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02597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02597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602597"/>
    <w:rPr>
      <w:rFonts w:ascii="Wingdings" w:hAnsi="Wingdings"/>
    </w:rPr>
  </w:style>
  <w:style w:type="paragraph" w:customStyle="1" w:styleId="Default">
    <w:name w:val="Default"/>
    <w:uiPriority w:val="99"/>
    <w:rsid w:val="00602597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602597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2597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0259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602597"/>
    <w:rPr>
      <w:b/>
      <w:bCs/>
    </w:rPr>
  </w:style>
  <w:style w:type="paragraph" w:customStyle="1" w:styleId="Assunto">
    <w:name w:val="Assunto"/>
    <w:basedOn w:val="Normal"/>
    <w:uiPriority w:val="99"/>
    <w:rsid w:val="00602597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02597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02597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0259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02597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02597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0259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02597"/>
  </w:style>
  <w:style w:type="table" w:customStyle="1" w:styleId="Tabelacomgrade1">
    <w:name w:val="Tabela com grade1"/>
    <w:basedOn w:val="Tabelanormal"/>
    <w:next w:val="Tabelacomgrade"/>
    <w:uiPriority w:val="59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602597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602597"/>
  </w:style>
  <w:style w:type="character" w:customStyle="1" w:styleId="CharChar1">
    <w:name w:val="Char Char1"/>
    <w:semiHidden/>
    <w:rsid w:val="00602597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02597"/>
  </w:style>
  <w:style w:type="character" w:styleId="nfase">
    <w:name w:val="Emphasis"/>
    <w:uiPriority w:val="20"/>
    <w:qFormat/>
    <w:rsid w:val="00602597"/>
    <w:rPr>
      <w:i/>
      <w:iCs/>
    </w:rPr>
  </w:style>
  <w:style w:type="character" w:customStyle="1" w:styleId="apple-style-span">
    <w:name w:val="apple-style-span"/>
    <w:basedOn w:val="Fontepargpadro"/>
    <w:rsid w:val="00602597"/>
  </w:style>
  <w:style w:type="character" w:styleId="HiperlinkVisitado">
    <w:name w:val="FollowedHyperlink"/>
    <w:uiPriority w:val="99"/>
    <w:unhideWhenUsed/>
    <w:rsid w:val="00602597"/>
    <w:rPr>
      <w:color w:val="800080"/>
      <w:u w:val="single"/>
    </w:rPr>
  </w:style>
  <w:style w:type="paragraph" w:customStyle="1" w:styleId="xl63">
    <w:name w:val="xl63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02597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02597"/>
  </w:style>
  <w:style w:type="table" w:customStyle="1" w:styleId="Tabelacomgrade2">
    <w:name w:val="Tabela com grade2"/>
    <w:basedOn w:val="Tabelanormal"/>
    <w:next w:val="Tabelacomgrade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602597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6025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02597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02597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0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0259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59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597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02597"/>
  </w:style>
  <w:style w:type="character" w:customStyle="1" w:styleId="TextodenotaderodapChar1">
    <w:name w:val="Texto de nota de rodapé Char1"/>
    <w:basedOn w:val="Fontepargpadro"/>
    <w:uiPriority w:val="99"/>
    <w:semiHidden/>
    <w:rsid w:val="0060259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0259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02597"/>
  </w:style>
  <w:style w:type="paragraph" w:customStyle="1" w:styleId="font5">
    <w:name w:val="font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602597"/>
  </w:style>
  <w:style w:type="paragraph" w:customStyle="1" w:styleId="paragraph">
    <w:name w:val="paragraph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602597"/>
  </w:style>
  <w:style w:type="character" w:customStyle="1" w:styleId="eop">
    <w:name w:val="eop"/>
    <w:basedOn w:val="Fontepargpadro"/>
    <w:rsid w:val="0060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@pirajui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2555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2018-07-23T13:40:00Z</dcterms:created>
  <dcterms:modified xsi:type="dcterms:W3CDTF">2018-07-23T13:59:00Z</dcterms:modified>
</cp:coreProperties>
</file>