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8D" w:rsidRPr="00B52C31" w:rsidRDefault="003C348D" w:rsidP="003C348D">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TOMADA DE PREÇOS Nº </w:t>
      </w:r>
      <w:r w:rsidR="00361E33">
        <w:rPr>
          <w:rFonts w:ascii="Book Antiqua" w:hAnsi="Book Antiqua" w:cs="Consolas"/>
          <w:b/>
          <w:sz w:val="28"/>
          <w:szCs w:val="28"/>
        </w:rPr>
        <w:t>011/2019</w:t>
      </w:r>
    </w:p>
    <w:p w:rsidR="003C348D" w:rsidRPr="00B52C31" w:rsidRDefault="003C348D" w:rsidP="003C348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00361E33">
        <w:rPr>
          <w:rFonts w:ascii="Book Antiqua" w:hAnsi="Book Antiqua" w:cs="Consolas"/>
          <w:b/>
          <w:bCs/>
          <w:sz w:val="28"/>
          <w:szCs w:val="28"/>
        </w:rPr>
        <w:t>040/2019</w:t>
      </w:r>
    </w:p>
    <w:p w:rsidR="003C348D" w:rsidRPr="00B52C31" w:rsidRDefault="003C348D" w:rsidP="003C348D">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sidR="00361E33">
        <w:rPr>
          <w:rFonts w:ascii="Book Antiqua" w:hAnsi="Book Antiqua" w:cs="Consolas"/>
          <w:b/>
          <w:bCs/>
          <w:sz w:val="28"/>
          <w:szCs w:val="28"/>
        </w:rPr>
        <w:t>061/2019</w:t>
      </w:r>
    </w:p>
    <w:p w:rsidR="002A54CC" w:rsidRPr="00B52C31" w:rsidRDefault="003C348D" w:rsidP="003C348D">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2A54CC" w:rsidRPr="00B52C31" w:rsidRDefault="002A54CC" w:rsidP="002A54CC">
      <w:pPr>
        <w:tabs>
          <w:tab w:val="center" w:pos="4677"/>
          <w:tab w:val="left" w:pos="8051"/>
        </w:tabs>
        <w:spacing w:after="0" w:line="240" w:lineRule="auto"/>
        <w:jc w:val="center"/>
        <w:rPr>
          <w:rFonts w:ascii="Book Antiqua" w:hAnsi="Book Antiqua" w:cs="Consolas"/>
          <w:sz w:val="28"/>
          <w:szCs w:val="28"/>
        </w:rPr>
      </w:pPr>
    </w:p>
    <w:p w:rsidR="003C348D" w:rsidRPr="00B52C31" w:rsidRDefault="003C348D" w:rsidP="003C348D">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B52C31">
        <w:rPr>
          <w:rFonts w:ascii="Book Antiqua" w:eastAsia="Times New Roman" w:hAnsi="Book Antiqua" w:cs="Consolas"/>
          <w:sz w:val="28"/>
          <w:szCs w:val="28"/>
        </w:rPr>
        <w:t xml:space="preserve">A presente licitação tem por objeto, a </w:t>
      </w:r>
      <w:r w:rsidR="00361E33">
        <w:rPr>
          <w:rFonts w:ascii="Book Antiqua" w:eastAsia="Times New Roman" w:hAnsi="Book Antiqua" w:cs="Consolas"/>
          <w:b/>
          <w:sz w:val="28"/>
          <w:szCs w:val="28"/>
        </w:rPr>
        <w:t xml:space="preserve">CONTRATAÇÃO DE EMPRESA ESPECIALIZADA PARA A PRESTAÇÃO DE SERVIÇOS DE RECAPEAMENTO ASFÁLTICO NAS VIAS DO MUNICÍPIO DE PIRAJUÍ – SP, </w:t>
      </w:r>
      <w:r w:rsidR="00361E33" w:rsidRPr="00361E33">
        <w:rPr>
          <w:rFonts w:ascii="Book Antiqua" w:eastAsia="Times New Roman" w:hAnsi="Book Antiqua" w:cs="Consolas"/>
          <w:sz w:val="28"/>
          <w:szCs w:val="28"/>
        </w:rPr>
        <w:t>conforme Contrato de Repasse nº 867433/2018/MCIDADES/CAIXA</w:t>
      </w:r>
      <w:r w:rsidRPr="00B52C31">
        <w:rPr>
          <w:rFonts w:ascii="Book Antiqua" w:eastAsia="Times New Roman" w:hAnsi="Book Antiqua" w:cs="Consolas"/>
          <w:sz w:val="28"/>
          <w:szCs w:val="28"/>
        </w:rPr>
        <w:t xml:space="preserve">, conforme as especificações técnicas contidas no projeto básico e/ou executivo, com todas as suas partes, desenhos, especificações e outros complementos. </w:t>
      </w:r>
    </w:p>
    <w:p w:rsidR="003C348D" w:rsidRPr="00B52C31" w:rsidRDefault="003C348D" w:rsidP="003C348D">
      <w:pPr>
        <w:autoSpaceDE w:val="0"/>
        <w:autoSpaceDN w:val="0"/>
        <w:adjustRightInd w:val="0"/>
        <w:spacing w:after="0" w:line="240" w:lineRule="auto"/>
        <w:jc w:val="both"/>
        <w:rPr>
          <w:rFonts w:ascii="Book Antiqua" w:eastAsia="Times New Roman" w:hAnsi="Book Antiqua" w:cs="Consolas"/>
          <w:b/>
          <w:sz w:val="28"/>
          <w:szCs w:val="28"/>
        </w:rPr>
      </w:pPr>
    </w:p>
    <w:p w:rsidR="003C348D" w:rsidRPr="00B52C31" w:rsidRDefault="00361E33" w:rsidP="003C348D">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04/09</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Pr="00B52C31">
        <w:rPr>
          <w:rFonts w:ascii="Book Antiqua" w:eastAsia="Times New Roman" w:hAnsi="Book Antiqua" w:cs="Consolas"/>
          <w:b/>
          <w:sz w:val="28"/>
          <w:szCs w:val="28"/>
        </w:rPr>
        <w:t>.</w:t>
      </w:r>
    </w:p>
    <w:p w:rsidR="003C348D" w:rsidRPr="00B52C31" w:rsidRDefault="003C348D" w:rsidP="003C348D">
      <w:pPr>
        <w:autoSpaceDE w:val="0"/>
        <w:autoSpaceDN w:val="0"/>
        <w:adjustRightInd w:val="0"/>
        <w:spacing w:after="0" w:line="240" w:lineRule="auto"/>
        <w:jc w:val="both"/>
        <w:rPr>
          <w:rFonts w:ascii="Book Antiqua" w:eastAsia="Times New Roman" w:hAnsi="Book Antiqua" w:cs="Consolas"/>
          <w:b/>
          <w:bCs/>
          <w:sz w:val="28"/>
          <w:szCs w:val="28"/>
        </w:rPr>
      </w:pPr>
    </w:p>
    <w:p w:rsidR="002A54CC" w:rsidRPr="00B52C31" w:rsidRDefault="003C348D" w:rsidP="003C348D">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 xml:space="preserve">Praça Doutor Pedro da Rocha Braga n° 116 – </w:t>
      </w:r>
      <w:r>
        <w:rPr>
          <w:rFonts w:ascii="Book Antiqua" w:eastAsia="Times New Roman" w:hAnsi="Book Antiqua" w:cs="Consolas"/>
          <w:sz w:val="28"/>
          <w:szCs w:val="28"/>
        </w:rPr>
        <w:t xml:space="preserve">Bairro </w:t>
      </w:r>
      <w:r w:rsidRPr="00B52C31">
        <w:rPr>
          <w:rFonts w:ascii="Book Antiqua" w:eastAsia="Times New Roman" w:hAnsi="Book Antiqua" w:cs="Consolas"/>
          <w:sz w:val="28"/>
          <w:szCs w:val="28"/>
        </w:rPr>
        <w:t xml:space="preserve">Centro – CEP 16.600-000. A sessão será conduzida pela Comissão Permanente de Licitações, designada nos autos do Processo n° </w:t>
      </w:r>
      <w:r w:rsidR="00361E33">
        <w:rPr>
          <w:rFonts w:ascii="Book Antiqua" w:eastAsia="Times New Roman" w:hAnsi="Book Antiqua" w:cs="Consolas"/>
          <w:sz w:val="28"/>
          <w:szCs w:val="28"/>
        </w:rPr>
        <w:t>061/2019</w:t>
      </w:r>
      <w:r w:rsidRPr="00B52C31">
        <w:rPr>
          <w:rFonts w:ascii="Book Antiqua" w:eastAsia="Times New Roman" w:hAnsi="Book Antiqua" w:cs="Consolas"/>
          <w:sz w:val="28"/>
          <w:szCs w:val="28"/>
        </w:rPr>
        <w:t>.</w:t>
      </w:r>
    </w:p>
    <w:p w:rsidR="002A54CC" w:rsidRPr="00B52C31" w:rsidRDefault="002A54CC" w:rsidP="002A54CC">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2A54CC" w:rsidP="002A54CC">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w:t>
      </w:r>
      <w:r w:rsidR="00AA32F7">
        <w:rPr>
          <w:rFonts w:ascii="Book Antiqua" w:hAnsi="Book Antiqua" w:cs="Consolas"/>
          <w:sz w:val="28"/>
          <w:szCs w:val="28"/>
        </w:rPr>
        <w:t>VIII</w:t>
      </w:r>
      <w:bookmarkStart w:id="0" w:name="_GoBack"/>
      <w:bookmarkEnd w:id="0"/>
      <w:r w:rsidRPr="00FA7BC1">
        <w:rPr>
          <w:rFonts w:ascii="Book Antiqua" w:hAnsi="Book Antiqua" w:cs="Consolas"/>
          <w:sz w:val="28"/>
          <w:szCs w:val="28"/>
        </w:rPr>
        <w:t xml:space="preserve">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BB6324" w:rsidRPr="002A54CC">
        <w:rPr>
          <w:rFonts w:ascii="Book Antiqua" w:eastAsia="Calibri" w:hAnsi="Book Antiqua" w:cs="Consolas"/>
          <w:b/>
          <w:sz w:val="28"/>
          <w:szCs w:val="28"/>
        </w:rPr>
        <w:t xml:space="preserve">R$ </w:t>
      </w:r>
      <w:r w:rsidR="00361E33">
        <w:rPr>
          <w:rFonts w:ascii="Book Antiqua" w:hAnsi="Book Antiqua" w:cs="Times New Roman"/>
          <w:b/>
          <w:bCs/>
          <w:sz w:val="28"/>
          <w:szCs w:val="28"/>
        </w:rPr>
        <w:t>335.125,09</w:t>
      </w:r>
      <w:r w:rsidR="00BB6324">
        <w:rPr>
          <w:rFonts w:ascii="Book Antiqua" w:hAnsi="Book Antiqua" w:cs="Times New Roman"/>
          <w:b/>
          <w:bCs/>
          <w:sz w:val="28"/>
          <w:szCs w:val="28"/>
        </w:rPr>
        <w:t xml:space="preserve"> (</w:t>
      </w:r>
      <w:r w:rsidR="00361E33">
        <w:rPr>
          <w:rFonts w:ascii="Book Antiqua" w:hAnsi="Book Antiqua" w:cs="Times New Roman"/>
          <w:b/>
          <w:bCs/>
          <w:sz w:val="28"/>
          <w:szCs w:val="28"/>
        </w:rPr>
        <w:t>TREZENTOS E TRINTA E CINCO MIL E CENTO E VINTE E CINCO REAIS E NOVE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CF0DD5">
        <w:rPr>
          <w:rFonts w:ascii="Book Antiqua" w:hAnsi="Book Antiqua" w:cs="Consolas"/>
          <w:sz w:val="28"/>
          <w:szCs w:val="28"/>
        </w:rPr>
        <w:t>federais</w:t>
      </w:r>
      <w:r w:rsidR="009D15C4">
        <w:rPr>
          <w:rFonts w:ascii="Book Antiqua" w:hAnsi="Book Antiqua" w:cs="Consolas"/>
          <w:sz w:val="28"/>
          <w:szCs w:val="28"/>
        </w:rPr>
        <w:t xml:space="preserve">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2B4E74">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w:t>
      </w:r>
      <w:r w:rsidR="00361E33">
        <w:rPr>
          <w:rFonts w:ascii="Book Antiqua" w:hAnsi="Book Antiqua" w:cs="Consolas"/>
          <w:b/>
          <w:sz w:val="28"/>
          <w:szCs w:val="28"/>
        </w:rPr>
        <w:t>31</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00393F27">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Default="00D44472" w:rsidP="001A4B1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e que façam referência à </w:t>
      </w:r>
      <w:r w:rsidR="00B14A9C" w:rsidRPr="00623A9C">
        <w:rPr>
          <w:rFonts w:ascii="Book Antiqua" w:hAnsi="Book Antiqua" w:cs="Consolas"/>
          <w:sz w:val="28"/>
          <w:szCs w:val="28"/>
        </w:rPr>
        <w:t xml:space="preserve">execução de </w:t>
      </w:r>
      <w:r w:rsidR="00B523B5">
        <w:rPr>
          <w:rFonts w:ascii="Book Antiqua" w:hAnsi="Book Antiqua" w:cs="Consolas"/>
          <w:sz w:val="28"/>
          <w:szCs w:val="28"/>
        </w:rPr>
        <w:t>385,73</w:t>
      </w:r>
      <w:r w:rsidR="00B14A9C" w:rsidRPr="00623A9C">
        <w:rPr>
          <w:rFonts w:ascii="Book Antiqua" w:hAnsi="Book Antiqua" w:cs="Consolas"/>
          <w:sz w:val="28"/>
          <w:szCs w:val="28"/>
        </w:rPr>
        <w:t xml:space="preserve"> m</w:t>
      </w:r>
      <w:r w:rsidR="00B523B5">
        <w:rPr>
          <w:rFonts w:ascii="Book Antiqua" w:hAnsi="Book Antiqua" w:cs="Consolas"/>
          <w:sz w:val="28"/>
          <w:szCs w:val="28"/>
        </w:rPr>
        <w:t>³</w:t>
      </w:r>
      <w:r w:rsidR="00B14A9C" w:rsidRPr="00623A9C">
        <w:rPr>
          <w:rFonts w:ascii="Book Antiqua" w:hAnsi="Book Antiqua" w:cs="Consolas"/>
          <w:sz w:val="28"/>
          <w:szCs w:val="28"/>
        </w:rPr>
        <w:t xml:space="preserve"> de </w:t>
      </w:r>
      <w:r w:rsidR="003C348D" w:rsidRPr="00FA7BC1">
        <w:rPr>
          <w:rFonts w:ascii="Book Antiqua" w:eastAsia="Times New Roman" w:hAnsi="Book Antiqua" w:cs="Consolas"/>
          <w:sz w:val="28"/>
          <w:szCs w:val="28"/>
        </w:rPr>
        <w:t>Recapeamento Asfáltico em CBUQ.</w:t>
      </w:r>
    </w:p>
    <w:p w:rsidR="003C348D" w:rsidRPr="00623A9C" w:rsidRDefault="003C348D" w:rsidP="001A4B17">
      <w:pPr>
        <w:autoSpaceDE w:val="0"/>
        <w:autoSpaceDN w:val="0"/>
        <w:adjustRightInd w:val="0"/>
        <w:spacing w:after="0" w:line="240" w:lineRule="auto"/>
        <w:jc w:val="both"/>
        <w:rPr>
          <w:rFonts w:ascii="Book Antiqua" w:hAnsi="Book Antiqua" w:cs="Consolas"/>
          <w:sz w:val="28"/>
          <w:szCs w:val="28"/>
        </w:rPr>
      </w:pP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361E33">
        <w:rPr>
          <w:rFonts w:ascii="Book Antiqua" w:eastAsia="Calibri" w:hAnsi="Book Antiqua" w:cs="Consolas"/>
          <w:b/>
          <w:sz w:val="28"/>
          <w:szCs w:val="28"/>
        </w:rPr>
        <w:t>011/2019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061/2019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CF0DD5">
        <w:rPr>
          <w:rFonts w:ascii="Book Antiqua" w:hAnsi="Book Antiqua"/>
          <w:sz w:val="28"/>
          <w:szCs w:val="28"/>
        </w:rPr>
        <w:t>1</w:t>
      </w:r>
      <w:r w:rsidR="00FA7BC1">
        <w:rPr>
          <w:rFonts w:ascii="Book Antiqua" w:hAnsi="Book Antiqua"/>
          <w:sz w:val="28"/>
          <w:szCs w:val="28"/>
        </w:rPr>
        <w:t xml:space="preserve"> (</w:t>
      </w:r>
      <w:r w:rsidR="00CF0DD5">
        <w:rPr>
          <w:rFonts w:ascii="Book Antiqua" w:hAnsi="Book Antiqua"/>
          <w:sz w:val="28"/>
          <w:szCs w:val="28"/>
        </w:rPr>
        <w:t>um</w:t>
      </w:r>
      <w:r w:rsidR="00FA7BC1">
        <w:rPr>
          <w:rFonts w:ascii="Book Antiqua" w:hAnsi="Book Antiqua"/>
          <w:sz w:val="28"/>
          <w:szCs w:val="28"/>
        </w:rPr>
        <w:t xml:space="preserve">) </w:t>
      </w:r>
      <w:r w:rsidR="00CF0DD5">
        <w:rPr>
          <w:rFonts w:ascii="Book Antiqua" w:hAnsi="Book Antiqua"/>
          <w:sz w:val="28"/>
          <w:szCs w:val="28"/>
        </w:rPr>
        <w:t>mês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361E33">
        <w:rPr>
          <w:rFonts w:ascii="Book Antiqua" w:eastAsia="Calibri" w:hAnsi="Book Antiqua" w:cs="Consolas"/>
          <w:b/>
          <w:sz w:val="28"/>
          <w:szCs w:val="28"/>
        </w:rPr>
        <w:t>011/2019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061/2019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w:t>
      </w:r>
      <w:r w:rsidRPr="00FA7BC1">
        <w:rPr>
          <w:rFonts w:ascii="Book Antiqua" w:hAnsi="Book Antiqua" w:cs="Consolas"/>
          <w:sz w:val="28"/>
          <w:szCs w:val="28"/>
        </w:rPr>
        <w:lastRenderedPageBreak/>
        <w:t xml:space="preserve">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w:t>
      </w:r>
      <w:r w:rsidR="00F253CB" w:rsidRPr="00FA7BC1">
        <w:rPr>
          <w:rFonts w:ascii="Book Antiqua" w:hAnsi="Book Antiqua" w:cs="Consolas"/>
          <w:sz w:val="28"/>
          <w:szCs w:val="28"/>
        </w:rPr>
        <w:lastRenderedPageBreak/>
        <w:t xml:space="preserve">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w:t>
      </w:r>
      <w:r w:rsidR="00F253CB" w:rsidRPr="00FA7BC1">
        <w:rPr>
          <w:rFonts w:ascii="Book Antiqua" w:hAnsi="Book Antiqua" w:cs="Consolas"/>
          <w:sz w:val="28"/>
          <w:szCs w:val="28"/>
        </w:rPr>
        <w:lastRenderedPageBreak/>
        <w:t xml:space="preserve">como devedor solidário, fará o pagamento que for devido, independentemente de interpelação judicial, caso o afiançado não cumpra 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Default="002B4E74"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Pr="00FA7BC1" w:rsidRDefault="00D60B0D" w:rsidP="00A36D57">
      <w:pPr>
        <w:spacing w:after="0" w:line="240" w:lineRule="auto"/>
        <w:jc w:val="center"/>
        <w:rPr>
          <w:rFonts w:ascii="Book Antiqua" w:hAnsi="Book Antiqua" w:cs="Consolas"/>
          <w:b/>
          <w:sz w:val="28"/>
          <w:szCs w:val="28"/>
        </w:rPr>
      </w:pPr>
    </w:p>
    <w:p w:rsidR="00454A8A" w:rsidRPr="00FA7BC1" w:rsidRDefault="00B523B5" w:rsidP="00B523B5">
      <w:pPr>
        <w:autoSpaceDE w:val="0"/>
        <w:autoSpaceDN w:val="0"/>
        <w:adjustRightInd w:val="0"/>
        <w:spacing w:after="0" w:line="240" w:lineRule="auto"/>
        <w:jc w:val="center"/>
        <w:rPr>
          <w:rFonts w:ascii="Book Antiqua" w:hAnsi="Book Antiqua" w:cs="Consolas"/>
          <w:sz w:val="28"/>
          <w:szCs w:val="28"/>
        </w:rPr>
      </w:pPr>
      <w:r w:rsidRPr="002532C7">
        <w:rPr>
          <w:rFonts w:ascii="Book Antiqua" w:hAnsi="Book Antiqua" w:cs="Consolas"/>
          <w:b/>
          <w:sz w:val="28"/>
          <w:szCs w:val="28"/>
        </w:rPr>
        <w:lastRenderedPageBreak/>
        <w:t xml:space="preserve">PIRAJUÍ, </w:t>
      </w:r>
      <w:r>
        <w:rPr>
          <w:rFonts w:ascii="Book Antiqua" w:hAnsi="Book Antiqua" w:cs="Consolas"/>
          <w:b/>
          <w:sz w:val="28"/>
          <w:szCs w:val="28"/>
        </w:rPr>
        <w:t>SEXTA-FEIRA</w:t>
      </w:r>
      <w:r w:rsidRPr="002532C7">
        <w:rPr>
          <w:rFonts w:ascii="Book Antiqua" w:hAnsi="Book Antiqua" w:cs="Consolas"/>
          <w:b/>
          <w:sz w:val="28"/>
          <w:szCs w:val="28"/>
        </w:rPr>
        <w:t xml:space="preserve">, </w:t>
      </w:r>
      <w:r>
        <w:rPr>
          <w:rFonts w:ascii="Book Antiqua" w:hAnsi="Book Antiqua" w:cs="Consolas"/>
          <w:b/>
          <w:sz w:val="28"/>
          <w:szCs w:val="28"/>
        </w:rPr>
        <w:t>16</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Default="00F6107A" w:rsidP="00454A8A">
      <w:pPr>
        <w:autoSpaceDE w:val="0"/>
        <w:autoSpaceDN w:val="0"/>
        <w:adjustRightInd w:val="0"/>
        <w:spacing w:after="0" w:line="240" w:lineRule="auto"/>
        <w:jc w:val="both"/>
        <w:rPr>
          <w:rFonts w:ascii="Book Antiqua" w:hAnsi="Book Antiqua" w:cs="Consolas"/>
          <w:sz w:val="28"/>
          <w:szCs w:val="28"/>
        </w:rPr>
      </w:pPr>
    </w:p>
    <w:p w:rsidR="00393F27" w:rsidRPr="00FA7BC1" w:rsidRDefault="00393F27"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361E33">
        <w:rPr>
          <w:rFonts w:ascii="Book Antiqua" w:eastAsia="Times New Roman" w:hAnsi="Book Antiqua" w:cs="Consolas"/>
          <w:b/>
          <w:sz w:val="28"/>
          <w:szCs w:val="28"/>
        </w:rPr>
        <w:t xml:space="preserve">CONTRATAÇÃO DE EMPRESA ESPECIALIZADA PARA A PRESTAÇÃO DE SERVIÇOS DE RECAPEAMENTO ASFÁLTICO NAS VIAS DO MUNICÍPIO DE PIRAJUÍ – SP, </w:t>
      </w:r>
      <w:r w:rsidR="00361E33" w:rsidRPr="00B523B5">
        <w:rPr>
          <w:rFonts w:ascii="Book Antiqua" w:eastAsia="Times New Roman" w:hAnsi="Book Antiqua" w:cs="Consolas"/>
          <w:sz w:val="28"/>
          <w:szCs w:val="28"/>
        </w:rPr>
        <w:t>conforme Contrato de Repasse nº 867433/2018/MCIDADES/CAIXA</w:t>
      </w:r>
      <w:r w:rsidR="00D60B0D" w:rsidRPr="00B52C31">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011/2019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361E33">
        <w:rPr>
          <w:rFonts w:ascii="Book Antiqua" w:eastAsia="Times New Roman" w:hAnsi="Book Antiqua" w:cs="Consolas"/>
          <w:b/>
          <w:sz w:val="28"/>
          <w:szCs w:val="28"/>
        </w:rPr>
        <w:t xml:space="preserve">CONTRATAÇÃO DE EMPRESA ESPECIALIZADA PARA A PRESTAÇÃO DE SERVIÇOS DE RECAPEAMENTO ASFÁLTICO NAS VIAS DO MUNICÍPIO DE PIRAJUÍ – SP, </w:t>
      </w:r>
      <w:r w:rsidR="00361E33" w:rsidRPr="00B523B5">
        <w:rPr>
          <w:rFonts w:ascii="Book Antiqua" w:eastAsia="Times New Roman" w:hAnsi="Book Antiqua" w:cs="Consolas"/>
          <w:sz w:val="28"/>
          <w:szCs w:val="28"/>
        </w:rPr>
        <w:t>conforme Contrato de Repasse nº 867433/2018/MCIDADES/CAIXA</w:t>
      </w:r>
      <w:r w:rsidR="00D60B0D" w:rsidRPr="00B52C31">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9D15C4">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011/2019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361E33">
        <w:rPr>
          <w:rFonts w:ascii="Book Antiqua" w:hAnsi="Book Antiqua" w:cs="Consolas"/>
          <w:b/>
          <w:sz w:val="28"/>
          <w:szCs w:val="28"/>
        </w:rPr>
        <w:t>011/2019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9D15C4" w:rsidRPr="00FA7BC1"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w:t>
      </w:r>
      <w:r w:rsidR="00B523B5">
        <w:rPr>
          <w:rFonts w:ascii="Book Antiqua" w:hAnsi="Book Antiqua" w:cs="Consolas"/>
          <w:b/>
          <w:sz w:val="28"/>
          <w:szCs w:val="28"/>
        </w:rPr>
        <w:t>31</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D60B0D">
        <w:rPr>
          <w:rFonts w:ascii="Book Antiqua" w:hAnsi="Book Antiqua" w:cs="Consolas"/>
          <w:sz w:val="28"/>
          <w:szCs w:val="28"/>
        </w:rPr>
        <w:t>1</w:t>
      </w:r>
      <w:r w:rsidR="00FE4182">
        <w:rPr>
          <w:rFonts w:ascii="Book Antiqua" w:hAnsi="Book Antiqua" w:cs="Consolas"/>
          <w:sz w:val="28"/>
          <w:szCs w:val="28"/>
        </w:rPr>
        <w:t xml:space="preserve"> </w:t>
      </w:r>
      <w:r w:rsidRPr="00FA7BC1">
        <w:rPr>
          <w:rFonts w:ascii="Book Antiqua" w:hAnsi="Book Antiqua" w:cs="Consolas"/>
          <w:sz w:val="28"/>
          <w:szCs w:val="28"/>
        </w:rPr>
        <w:t>(</w:t>
      </w:r>
      <w:r w:rsidR="00D60B0D">
        <w:rPr>
          <w:rFonts w:ascii="Book Antiqua" w:hAnsi="Book Antiqua" w:cs="Consolas"/>
          <w:sz w:val="28"/>
          <w:szCs w:val="28"/>
        </w:rPr>
        <w:t>um</w:t>
      </w:r>
      <w:r w:rsidRPr="00FA7BC1">
        <w:rPr>
          <w:rFonts w:ascii="Book Antiqua" w:hAnsi="Book Antiqua" w:cs="Consolas"/>
          <w:sz w:val="28"/>
          <w:szCs w:val="28"/>
        </w:rPr>
        <w:t xml:space="preserve">) </w:t>
      </w:r>
      <w:r w:rsidR="00FA7BC1" w:rsidRPr="00FA7BC1">
        <w:rPr>
          <w:rFonts w:ascii="Book Antiqua" w:hAnsi="Book Antiqua" w:cs="Consolas"/>
          <w:sz w:val="28"/>
          <w:szCs w:val="28"/>
        </w:rPr>
        <w:t>m</w:t>
      </w:r>
      <w:r w:rsidR="00D60B0D">
        <w:rPr>
          <w:rFonts w:ascii="Book Antiqua" w:hAnsi="Book Antiqua" w:cs="Consolas"/>
          <w:sz w:val="28"/>
          <w:szCs w:val="28"/>
        </w:rPr>
        <w:t>ê</w:t>
      </w:r>
      <w:r w:rsidR="00FA7BC1" w:rsidRPr="00FA7BC1">
        <w:rPr>
          <w:rFonts w:ascii="Book Antiqua" w:hAnsi="Book Antiqua" w:cs="Consolas"/>
          <w:sz w:val="28"/>
          <w:szCs w:val="28"/>
        </w:rPr>
        <w:t>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D60B0D">
        <w:rPr>
          <w:rFonts w:ascii="Book Antiqua" w:hAnsi="Book Antiqua" w:cs="Consolas"/>
          <w:sz w:val="28"/>
          <w:szCs w:val="28"/>
        </w:rPr>
        <w:t>1</w:t>
      </w:r>
      <w:r w:rsidR="00FA7BC1" w:rsidRPr="00FA7BC1">
        <w:rPr>
          <w:rFonts w:ascii="Book Antiqua" w:hAnsi="Book Antiqua" w:cs="Consolas"/>
          <w:sz w:val="28"/>
          <w:szCs w:val="28"/>
        </w:rPr>
        <w:t xml:space="preserve"> (</w:t>
      </w:r>
      <w:r w:rsidR="00D60B0D">
        <w:rPr>
          <w:rFonts w:ascii="Book Antiqua" w:hAnsi="Book Antiqua" w:cs="Consolas"/>
          <w:sz w:val="28"/>
          <w:szCs w:val="28"/>
        </w:rPr>
        <w:t>um</w:t>
      </w:r>
      <w:r w:rsidR="00FA7BC1" w:rsidRPr="00FA7BC1">
        <w:rPr>
          <w:rFonts w:ascii="Book Antiqua" w:hAnsi="Book Antiqua" w:cs="Consolas"/>
          <w:sz w:val="28"/>
          <w:szCs w:val="28"/>
        </w:rPr>
        <w:t>) m</w:t>
      </w:r>
      <w:r w:rsidR="00D60B0D">
        <w:rPr>
          <w:rFonts w:ascii="Book Antiqua" w:hAnsi="Book Antiqua" w:cs="Consolas"/>
          <w:sz w:val="28"/>
          <w:szCs w:val="28"/>
        </w:rPr>
        <w:t>ês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w:t>
      </w:r>
      <w:r w:rsidR="00D60B0D">
        <w:rPr>
          <w:rFonts w:ascii="Book Antiqua" w:hAnsi="Book Antiqua" w:cs="Consolas"/>
          <w:sz w:val="28"/>
          <w:szCs w:val="28"/>
        </w:rPr>
        <w:t>u</w:t>
      </w:r>
      <w:r w:rsidRPr="00FA7BC1">
        <w:rPr>
          <w:rFonts w:ascii="Book Antiqua" w:hAnsi="Book Antiqua" w:cs="Consolas"/>
          <w:sz w:val="28"/>
          <w:szCs w:val="28"/>
        </w:rPr>
        <w:t>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361E33">
        <w:rPr>
          <w:rFonts w:ascii="Book Antiqua" w:eastAsia="Times New Roman" w:hAnsi="Book Antiqua" w:cs="Consolas"/>
          <w:b/>
          <w:sz w:val="28"/>
          <w:szCs w:val="28"/>
        </w:rPr>
        <w:t xml:space="preserve">CONTRATAÇÃO DE EMPRESA ESPECIALIZADA PARA A PRESTAÇÃO DE SERVIÇOS DE RECAPEAMENTO ASFÁLTICO NAS VIAS DO MUNICÍPIO DE PIRAJUÍ – SP, </w:t>
      </w:r>
      <w:r w:rsidR="00361E33" w:rsidRPr="00B523B5">
        <w:rPr>
          <w:rFonts w:ascii="Book Antiqua" w:eastAsia="Times New Roman" w:hAnsi="Book Antiqua" w:cs="Consolas"/>
          <w:sz w:val="28"/>
          <w:szCs w:val="28"/>
        </w:rPr>
        <w:t>conforme Contrato de Repasse nº 867433/2018/MCIDADES/CAIXA</w:t>
      </w:r>
      <w:r w:rsidR="00D60B0D" w:rsidRPr="00B52C31">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D60B0D">
        <w:rPr>
          <w:rFonts w:ascii="Book Antiqua" w:hAnsi="Book Antiqua" w:cs="Consolas"/>
          <w:sz w:val="28"/>
          <w:szCs w:val="28"/>
        </w:rPr>
        <w:t>1</w:t>
      </w:r>
      <w:r w:rsidR="00FA7BC1" w:rsidRPr="00FA7BC1">
        <w:rPr>
          <w:rFonts w:ascii="Book Antiqua" w:hAnsi="Book Antiqua" w:cs="Consolas"/>
          <w:sz w:val="28"/>
          <w:szCs w:val="28"/>
        </w:rPr>
        <w:t xml:space="preserve"> (</w:t>
      </w:r>
      <w:r w:rsidR="00D60B0D">
        <w:rPr>
          <w:rFonts w:ascii="Book Antiqua" w:hAnsi="Book Antiqua" w:cs="Consolas"/>
          <w:sz w:val="28"/>
          <w:szCs w:val="28"/>
        </w:rPr>
        <w:t>um</w:t>
      </w:r>
      <w:r w:rsidR="00FA7BC1" w:rsidRPr="00FA7BC1">
        <w:rPr>
          <w:rFonts w:ascii="Book Antiqua" w:hAnsi="Book Antiqua" w:cs="Consolas"/>
          <w:sz w:val="28"/>
          <w:szCs w:val="28"/>
        </w:rPr>
        <w:t>) m</w:t>
      </w:r>
      <w:r w:rsidR="00D60B0D">
        <w:rPr>
          <w:rFonts w:ascii="Book Antiqua" w:hAnsi="Book Antiqua" w:cs="Consolas"/>
          <w:sz w:val="28"/>
          <w:szCs w:val="28"/>
        </w:rPr>
        <w:t>ês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011/2019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011/2019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011/2019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011/2019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2A54CC" w:rsidRPr="00B52C31">
        <w:rPr>
          <w:rFonts w:ascii="Book Antiqua" w:eastAsia="Times New Roman" w:hAnsi="Book Antiqua" w:cs="Consolas"/>
          <w:sz w:val="28"/>
          <w:szCs w:val="28"/>
        </w:rPr>
        <w:t xml:space="preserve">A presente licitação tem por objeto, a </w:t>
      </w:r>
      <w:r w:rsidR="00361E33">
        <w:rPr>
          <w:rFonts w:ascii="Book Antiqua" w:eastAsia="Times New Roman" w:hAnsi="Book Antiqua" w:cs="Consolas"/>
          <w:b/>
          <w:sz w:val="28"/>
          <w:szCs w:val="28"/>
        </w:rPr>
        <w:t>CONTRATAÇÃO DE EMPRESA ESPECIALIZADA PARA A PRESTAÇÃO DE SERVIÇOS DE RECAPEAMENTO ASFÁLTICO NAS VIAS DO MUNICÍPIO DE PIRAJUÍ – SP, conforme Contrato de Repasse nº 867433/2018/MCIDADES/CAIXA</w:t>
      </w:r>
      <w:r w:rsidR="00D60B0D" w:rsidRPr="00B52C31">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011/2019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011/2019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atendimento à Lei Federal nº 12.846/2013 e ao Decreto Estadual nº 60.106/2014, tais como:</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D7" w:rsidRDefault="000956D7" w:rsidP="00BD0343">
      <w:pPr>
        <w:spacing w:after="0" w:line="240" w:lineRule="auto"/>
      </w:pPr>
      <w:r>
        <w:separator/>
      </w:r>
    </w:p>
  </w:endnote>
  <w:endnote w:type="continuationSeparator" w:id="0">
    <w:p w:rsidR="000956D7" w:rsidRDefault="000956D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Content>
      <w:p w:rsidR="00393F27" w:rsidRPr="00C400F9" w:rsidRDefault="00393F27">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AA32F7">
          <w:rPr>
            <w:rFonts w:ascii="Book Antiqua" w:hAnsi="Book Antiqua" w:cs="Consolas"/>
            <w:b/>
            <w:noProof/>
            <w:sz w:val="20"/>
            <w:szCs w:val="20"/>
          </w:rPr>
          <w:t>2</w:t>
        </w:r>
        <w:r w:rsidRPr="00C400F9">
          <w:rPr>
            <w:rFonts w:ascii="Book Antiqua" w:hAnsi="Book Antiqua" w:cs="Consolas"/>
            <w:b/>
            <w:sz w:val="20"/>
            <w:szCs w:val="20"/>
          </w:rPr>
          <w:fldChar w:fldCharType="end"/>
        </w:r>
        <w:r w:rsidRPr="00C400F9">
          <w:rPr>
            <w:rFonts w:ascii="Book Antiqua" w:hAnsi="Book Antiqua" w:cs="Consolas"/>
            <w:b/>
            <w:sz w:val="20"/>
            <w:szCs w:val="20"/>
          </w:rPr>
          <w:t>-4</w:t>
        </w:r>
        <w:r>
          <w:rPr>
            <w:rFonts w:ascii="Book Antiqua" w:hAnsi="Book Antiqua" w:cs="Consolas"/>
            <w:b/>
            <w:sz w:val="20"/>
            <w:szCs w:val="20"/>
          </w:rPr>
          <w:t>2</w:t>
        </w:r>
      </w:p>
    </w:sdtContent>
  </w:sdt>
  <w:p w:rsidR="00393F27" w:rsidRPr="00043C58" w:rsidRDefault="00393F27"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D7" w:rsidRDefault="000956D7" w:rsidP="00BD0343">
      <w:pPr>
        <w:spacing w:after="0" w:line="240" w:lineRule="auto"/>
      </w:pPr>
      <w:r>
        <w:separator/>
      </w:r>
    </w:p>
  </w:footnote>
  <w:footnote w:type="continuationSeparator" w:id="0">
    <w:p w:rsidR="000956D7" w:rsidRDefault="000956D7"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393F27" w:rsidRPr="0040340E" w:rsidTr="005B4A97">
      <w:trPr>
        <w:trHeight w:val="1689"/>
      </w:trPr>
      <w:tc>
        <w:tcPr>
          <w:tcW w:w="746" w:type="pct"/>
          <w:shd w:val="clear" w:color="auto" w:fill="FFFFFF"/>
        </w:tcPr>
        <w:p w:rsidR="00393F27" w:rsidRPr="003C348D" w:rsidRDefault="00393F27"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28665477" r:id="rId2"/>
            </w:pict>
          </w:r>
        </w:p>
      </w:tc>
      <w:tc>
        <w:tcPr>
          <w:tcW w:w="4254" w:type="pct"/>
          <w:shd w:val="clear" w:color="auto" w:fill="FFFFFF"/>
        </w:tcPr>
        <w:p w:rsidR="00393F27" w:rsidRPr="00053EBD" w:rsidRDefault="00393F2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93F27" w:rsidRPr="00053EBD" w:rsidRDefault="00393F2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93F27" w:rsidRDefault="00393F27"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93F27" w:rsidRPr="003C348D" w:rsidRDefault="00393F27"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93F27" w:rsidRPr="0040340E" w:rsidRDefault="00393F27"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C29742F" wp14:editId="1D5B0A0A">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5543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3A9C"/>
    <w:rsid w:val="0062758E"/>
    <w:rsid w:val="0063713F"/>
    <w:rsid w:val="00651D94"/>
    <w:rsid w:val="0066394C"/>
    <w:rsid w:val="00673359"/>
    <w:rsid w:val="0068395E"/>
    <w:rsid w:val="006866BB"/>
    <w:rsid w:val="006A10CD"/>
    <w:rsid w:val="006F10E4"/>
    <w:rsid w:val="007118F4"/>
    <w:rsid w:val="0072139B"/>
    <w:rsid w:val="007340B9"/>
    <w:rsid w:val="007405ED"/>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B56FD"/>
    <w:rsid w:val="009C2A4B"/>
    <w:rsid w:val="009D133C"/>
    <w:rsid w:val="009D15C4"/>
    <w:rsid w:val="009D1EC2"/>
    <w:rsid w:val="00A03C39"/>
    <w:rsid w:val="00A135CD"/>
    <w:rsid w:val="00A20F36"/>
    <w:rsid w:val="00A215E1"/>
    <w:rsid w:val="00A366A4"/>
    <w:rsid w:val="00A36D57"/>
    <w:rsid w:val="00A4166F"/>
    <w:rsid w:val="00A51342"/>
    <w:rsid w:val="00A5489B"/>
    <w:rsid w:val="00A55D0D"/>
    <w:rsid w:val="00A81F73"/>
    <w:rsid w:val="00A91E06"/>
    <w:rsid w:val="00A921FF"/>
    <w:rsid w:val="00AA07E7"/>
    <w:rsid w:val="00AA32F7"/>
    <w:rsid w:val="00AA580E"/>
    <w:rsid w:val="00AA68A5"/>
    <w:rsid w:val="00AC1431"/>
    <w:rsid w:val="00AC20CE"/>
    <w:rsid w:val="00B02008"/>
    <w:rsid w:val="00B114D3"/>
    <w:rsid w:val="00B14A9C"/>
    <w:rsid w:val="00B15AE0"/>
    <w:rsid w:val="00B204DA"/>
    <w:rsid w:val="00B4520E"/>
    <w:rsid w:val="00B47150"/>
    <w:rsid w:val="00B507EB"/>
    <w:rsid w:val="00B523B5"/>
    <w:rsid w:val="00B659C9"/>
    <w:rsid w:val="00B92A1A"/>
    <w:rsid w:val="00BA60FC"/>
    <w:rsid w:val="00BB6324"/>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E0510C"/>
    <w:rsid w:val="00E077C8"/>
    <w:rsid w:val="00E12BD3"/>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6B9C-3DD9-4E10-ABE2-70B1322C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9606</Words>
  <Characters>51874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5</cp:revision>
  <cp:lastPrinted>2017-07-25T18:39:00Z</cp:lastPrinted>
  <dcterms:created xsi:type="dcterms:W3CDTF">2019-05-21T12:37:00Z</dcterms:created>
  <dcterms:modified xsi:type="dcterms:W3CDTF">2019-08-30T13:18:00Z</dcterms:modified>
</cp:coreProperties>
</file>